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3"/>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6"/>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6"/>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6"/>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r>
    </w:tbl>
    <w:p>
      <w:pPr>
        <w:pStyle w:val="5"/>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7"/>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bookmarkStart w:id="0" w:name="bookmark89"/>
      <w:bookmarkStart w:id="1" w:name="bookmark90"/>
      <w:bookmarkStart w:id="2" w:name="bookmark88"/>
      <w:r>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t>苗圃街道部门整体支出绩效报告</w:t>
      </w:r>
      <w:bookmarkEnd w:id="0"/>
      <w:bookmarkEnd w:id="1"/>
      <w:bookmarkEnd w:id="2"/>
    </w:p>
    <w:p>
      <w:pPr>
        <w:pStyle w:val="7"/>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p>
      <w:pPr>
        <w:widowControl/>
        <w:spacing w:line="360" w:lineRule="auto"/>
        <w:ind w:firstLine="643" w:firstLineChars="200"/>
        <w:jc w:val="left"/>
        <w:rPr>
          <w:rFonts w:ascii="仿宋" w:hAnsi="仿宋" w:eastAsia="仿宋" w:cs="仿宋"/>
          <w:color w:val="000000"/>
          <w:sz w:val="32"/>
          <w:szCs w:val="32"/>
        </w:rPr>
      </w:pPr>
      <w:r>
        <w:rPr>
          <w:rFonts w:hint="eastAsia" w:ascii="仿宋" w:hAnsi="仿宋" w:eastAsia="仿宋" w:cs="仿宋"/>
          <w:b/>
          <w:bCs/>
          <w:color w:val="000000"/>
          <w:sz w:val="32"/>
          <w:szCs w:val="32"/>
        </w:rPr>
        <w:t>1、主要职能如下</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（一）加强党的建设。</w:t>
      </w:r>
      <w:r>
        <w:rPr>
          <w:rFonts w:hint="eastAsia" w:ascii="仿宋" w:hAnsi="仿宋" w:eastAsia="仿宋"/>
          <w:sz w:val="32"/>
          <w:szCs w:val="32"/>
        </w:rPr>
        <w:t>宣传、贯彻、执行党的路线、方针、政策和上级党委、政府的指示、决议；加强党的自身建设，领导街道的思想政治工作、精神文明建设。</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（二）统筹区域发展。</w:t>
      </w:r>
      <w:r>
        <w:rPr>
          <w:rFonts w:hint="eastAsia" w:ascii="仿宋" w:hAnsi="仿宋" w:eastAsia="仿宋"/>
          <w:sz w:val="32"/>
          <w:szCs w:val="32"/>
        </w:rPr>
        <w:t>领导街道的经济、城市管理、服务等工作，对有关的重大问题做出决策；按照党的干部政策和管理权限，决定干部的任务和奖惩；支持办事处行政领导依法行使职权，独立负责地开展工作；领导工会、共青团、妇联等群众组织。</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（三）实施公共管理。</w:t>
      </w:r>
      <w:r>
        <w:rPr>
          <w:rFonts w:hint="eastAsia" w:ascii="仿宋" w:hAnsi="仿宋" w:eastAsia="仿宋"/>
          <w:sz w:val="32"/>
          <w:szCs w:val="32"/>
        </w:rPr>
        <w:t>督促、检查和协调本辖区内各单位承担的计划生育服务、社会治安、城管卫生等有关地区性、社会性工作。</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（四）维护公共安全。</w:t>
      </w:r>
      <w:r>
        <w:rPr>
          <w:rFonts w:hint="eastAsia" w:ascii="仿宋" w:hAnsi="仿宋" w:eastAsia="仿宋"/>
          <w:sz w:val="32"/>
          <w:szCs w:val="32"/>
        </w:rPr>
        <w:t>搞好精神文明建设，加强城市管理和社区治安综合治理，依法对本行政区域内的其他各项工作实施行政管理，组织好人民生活。</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（五）组织公共服务。</w:t>
      </w:r>
      <w:r>
        <w:rPr>
          <w:rFonts w:hint="eastAsia" w:ascii="仿宋" w:hAnsi="仿宋" w:eastAsia="仿宋"/>
          <w:sz w:val="32"/>
          <w:szCs w:val="32"/>
        </w:rPr>
        <w:t>在街道党委的领导下坚持以经济建设为中心，大力发展街道经济；依法开展民政、社会保障、文化旅游、科技、教育、卫生健康、民族宗教、退役军人等公益性事务服务工作。</w:t>
      </w:r>
    </w:p>
    <w:p>
      <w:pPr>
        <w:spacing w:line="500" w:lineRule="exact"/>
        <w:ind w:firstLine="643" w:firstLineChars="200"/>
        <w:rPr>
          <w:rFonts w:ascii="仿宋" w:hAnsi="仿宋" w:eastAsia="仿宋"/>
          <w:b/>
          <w:bCs w:val="0"/>
          <w:sz w:val="32"/>
          <w:szCs w:val="32"/>
        </w:rPr>
      </w:pPr>
      <w:r>
        <w:rPr>
          <w:rFonts w:hint="eastAsia" w:ascii="仿宋" w:hAnsi="仿宋" w:eastAsia="仿宋"/>
          <w:b/>
          <w:bCs w:val="0"/>
          <w:sz w:val="32"/>
          <w:szCs w:val="32"/>
        </w:rPr>
        <w:t>（六）贯彻执行相关法律法规，落实党和国家的方针、政策，承担上级交办的其他任务。</w:t>
      </w:r>
    </w:p>
    <w:p>
      <w:pPr>
        <w:pStyle w:val="8"/>
        <w:tabs>
          <w:tab w:val="left" w:pos="1113"/>
        </w:tabs>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val="en-US"/>
        </w:rPr>
        <w:t>2、</w:t>
      </w:r>
      <w:r>
        <w:rPr>
          <w:rFonts w:hint="eastAsia" w:ascii="仿宋" w:hAnsi="仿宋" w:eastAsia="仿宋" w:cs="仿宋"/>
          <w:b/>
          <w:bCs/>
          <w:color w:val="000000"/>
          <w:sz w:val="32"/>
          <w:szCs w:val="32"/>
        </w:rPr>
        <w:t>机构设置</w:t>
      </w:r>
    </w:p>
    <w:p>
      <w:pPr>
        <w:spacing w:line="500" w:lineRule="exact"/>
        <w:ind w:firstLine="640" w:firstLineChars="200"/>
        <w:rPr>
          <w:rFonts w:eastAsia="仿宋_GB2312"/>
          <w:bCs/>
          <w:kern w:val="0"/>
          <w:sz w:val="32"/>
          <w:szCs w:val="32"/>
        </w:rPr>
      </w:pPr>
      <w:r>
        <w:rPr>
          <w:rFonts w:hint="eastAsia" w:ascii="仿宋" w:hAnsi="仿宋" w:eastAsia="仿宋" w:cs="仿宋"/>
          <w:color w:val="000000"/>
          <w:sz w:val="32"/>
          <w:szCs w:val="32"/>
        </w:rPr>
        <w:t>苗圃街道</w:t>
      </w:r>
      <w:r>
        <w:rPr>
          <w:rFonts w:eastAsia="仿宋_GB2312"/>
          <w:bCs/>
          <w:kern w:val="0"/>
          <w:sz w:val="32"/>
          <w:szCs w:val="32"/>
        </w:rPr>
        <w:t>单位内设机构</w:t>
      </w:r>
      <w:r>
        <w:rPr>
          <w:rFonts w:hint="eastAsia" w:eastAsia="仿宋_GB2312"/>
          <w:bCs/>
          <w:kern w:val="0"/>
          <w:sz w:val="32"/>
          <w:szCs w:val="32"/>
          <w:lang w:eastAsia="zh-CN"/>
        </w:rPr>
        <w:t>“四办二中心一大队”，</w:t>
      </w:r>
      <w:r>
        <w:rPr>
          <w:rFonts w:hint="eastAsia" w:eastAsia="仿宋_GB2312"/>
          <w:bCs/>
          <w:kern w:val="0"/>
          <w:sz w:val="32"/>
          <w:szCs w:val="32"/>
        </w:rPr>
        <w:t>下设八个居委会。</w:t>
      </w:r>
    </w:p>
    <w:p>
      <w:pPr>
        <w:pStyle w:val="8"/>
        <w:tabs>
          <w:tab w:val="left" w:pos="1101"/>
        </w:tabs>
        <w:spacing w:line="360" w:lineRule="auto"/>
        <w:ind w:firstLine="640" w:firstLineChars="200"/>
        <w:rPr>
          <w:rFonts w:ascii="仿宋" w:hAnsi="仿宋" w:eastAsia="仿宋" w:cs="仿宋"/>
          <w:color w:val="000000"/>
          <w:sz w:val="32"/>
          <w:szCs w:val="32"/>
          <w:lang w:val="en-US"/>
        </w:rPr>
      </w:pPr>
      <w:r>
        <w:rPr>
          <w:rFonts w:hint="eastAsia" w:ascii="仿宋" w:hAnsi="仿宋" w:eastAsia="仿宋" w:cs="仿宋"/>
          <w:color w:val="000000"/>
          <w:sz w:val="32"/>
          <w:szCs w:val="32"/>
          <w:lang w:val="en-US"/>
        </w:rPr>
        <w:t>3、</w:t>
      </w:r>
      <w:r>
        <w:rPr>
          <w:rFonts w:ascii="Times New Roman" w:hAnsi="Times New Roman" w:eastAsia="仿宋_GB2312" w:cs="Times New Roman"/>
          <w:b/>
          <w:sz w:val="32"/>
          <w:szCs w:val="32"/>
        </w:rPr>
        <w:t>人员情况</w:t>
      </w:r>
    </w:p>
    <w:p>
      <w:pPr>
        <w:pStyle w:val="8"/>
        <w:tabs>
          <w:tab w:val="left" w:pos="1101"/>
        </w:tabs>
        <w:spacing w:line="360" w:lineRule="auto"/>
        <w:ind w:firstLine="640" w:firstLineChars="200"/>
        <w:rPr>
          <w:rFonts w:ascii="仿宋" w:hAnsi="仿宋" w:eastAsia="仿宋" w:cs="仿宋"/>
          <w:color w:val="000000"/>
          <w:sz w:val="32"/>
          <w:szCs w:val="32"/>
          <w:lang w:val="en-US"/>
        </w:rPr>
      </w:pPr>
      <w:r>
        <w:rPr>
          <w:rFonts w:hint="eastAsia" w:ascii="仿宋" w:hAnsi="仿宋" w:eastAsia="仿宋" w:cs="仿宋"/>
          <w:color w:val="000000"/>
          <w:sz w:val="32"/>
          <w:szCs w:val="32"/>
          <w:lang w:val="en-US"/>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rPr>
        <w:t>年，珠晖区苗圃街道在职人员共</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lang w:val="en-US"/>
        </w:rPr>
        <w:t>人，其中，行政编人员</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val="en-US"/>
        </w:rPr>
        <w:t>人，事业编人员</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lang w:val="en-US"/>
        </w:rPr>
        <w:t>人。另长期聘用人员</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en-US"/>
        </w:rPr>
        <w:t>人。</w:t>
      </w:r>
    </w:p>
    <w:bookmarkEnd w:id="3"/>
    <w:p>
      <w:pPr>
        <w:pStyle w:val="8"/>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8"/>
        <w:tabs>
          <w:tab w:val="left" w:pos="1111"/>
        </w:tabs>
        <w:spacing w:line="360" w:lineRule="auto"/>
        <w:ind w:firstLine="643" w:firstLineChars="200"/>
        <w:jc w:val="left"/>
        <w:rPr>
          <w:rFonts w:ascii="仿宋" w:hAnsi="仿宋" w:eastAsia="仿宋" w:cs="仿宋"/>
          <w:b/>
          <w:bCs/>
          <w:sz w:val="32"/>
          <w:szCs w:val="32"/>
        </w:rPr>
      </w:pPr>
      <w:bookmarkStart w:id="5" w:name="bookmark95"/>
      <w:r>
        <w:rPr>
          <w:rFonts w:hint="eastAsia" w:ascii="仿宋" w:hAnsi="仿宋" w:eastAsia="仿宋" w:cs="仿宋"/>
          <w:b/>
          <w:bCs/>
          <w:color w:val="000000"/>
          <w:sz w:val="32"/>
          <w:szCs w:val="32"/>
          <w:lang w:val="en-US"/>
        </w:rPr>
        <w:t>1、</w:t>
      </w:r>
      <w:r>
        <w:rPr>
          <w:rFonts w:hint="eastAsia" w:ascii="仿宋" w:hAnsi="仿宋" w:eastAsia="仿宋" w:cs="仿宋"/>
          <w:b/>
          <w:bCs/>
          <w:color w:val="000000"/>
          <w:sz w:val="32"/>
          <w:szCs w:val="32"/>
        </w:rPr>
        <w:t>基本支出</w:t>
      </w:r>
    </w:p>
    <w:p>
      <w:pPr>
        <w:ind w:firstLine="645"/>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苗圃街道</w:t>
      </w:r>
      <w:r>
        <w:rPr>
          <w:rFonts w:ascii="仿宋" w:hAnsi="仿宋" w:eastAsia="仿宋" w:cs="仿宋_GB2312"/>
          <w:color w:val="333333"/>
          <w:kern w:val="0"/>
          <w:sz w:val="32"/>
          <w:szCs w:val="32"/>
        </w:rPr>
        <w:t>20</w:t>
      </w:r>
      <w:r>
        <w:rPr>
          <w:rFonts w:hint="eastAsia" w:ascii="仿宋" w:hAnsi="仿宋" w:eastAsia="仿宋" w:cs="仿宋_GB2312"/>
          <w:color w:val="333333"/>
          <w:kern w:val="0"/>
          <w:sz w:val="32"/>
          <w:szCs w:val="32"/>
        </w:rPr>
        <w:t>2</w:t>
      </w:r>
      <w:r>
        <w:rPr>
          <w:rFonts w:hint="eastAsia" w:ascii="仿宋" w:hAnsi="仿宋" w:eastAsia="仿宋" w:cs="仿宋_GB2312"/>
          <w:color w:val="333333"/>
          <w:kern w:val="0"/>
          <w:sz w:val="32"/>
          <w:szCs w:val="32"/>
          <w:lang w:val="en-US" w:eastAsia="zh-CN"/>
        </w:rPr>
        <w:t>1</w:t>
      </w:r>
      <w:r>
        <w:rPr>
          <w:rFonts w:ascii="仿宋" w:hAnsi="仿宋" w:eastAsia="仿宋" w:cs="仿宋_GB2312"/>
          <w:color w:val="333333"/>
          <w:kern w:val="0"/>
          <w:sz w:val="32"/>
          <w:szCs w:val="32"/>
        </w:rPr>
        <w:t>度收入总计</w:t>
      </w:r>
      <w:r>
        <w:rPr>
          <w:rFonts w:hint="eastAsia" w:ascii="仿宋" w:hAnsi="仿宋" w:eastAsia="仿宋" w:cs="仿宋_GB2312"/>
          <w:color w:val="333333"/>
          <w:kern w:val="0"/>
          <w:sz w:val="32"/>
          <w:szCs w:val="32"/>
          <w:lang w:val="en-US" w:eastAsia="zh-CN"/>
        </w:rPr>
        <w:t>524.82</w:t>
      </w:r>
      <w:r>
        <w:rPr>
          <w:rFonts w:ascii="仿宋" w:hAnsi="仿宋" w:eastAsia="仿宋" w:cs="仿宋_GB2312"/>
          <w:color w:val="333333"/>
          <w:kern w:val="0"/>
          <w:sz w:val="32"/>
          <w:szCs w:val="32"/>
        </w:rPr>
        <w:t>万元，其中财政拨款收入</w:t>
      </w:r>
      <w:r>
        <w:rPr>
          <w:rFonts w:hint="eastAsia" w:ascii="仿宋" w:hAnsi="仿宋" w:eastAsia="仿宋" w:cs="仿宋_GB2312"/>
          <w:color w:val="333333"/>
          <w:kern w:val="0"/>
          <w:sz w:val="32"/>
          <w:szCs w:val="32"/>
          <w:lang w:val="en-US" w:eastAsia="zh-CN"/>
        </w:rPr>
        <w:t>524.82</w:t>
      </w:r>
      <w:r>
        <w:rPr>
          <w:rFonts w:ascii="仿宋" w:hAnsi="仿宋" w:eastAsia="仿宋" w:cs="仿宋_GB2312"/>
          <w:color w:val="333333"/>
          <w:kern w:val="0"/>
          <w:sz w:val="32"/>
          <w:szCs w:val="32"/>
        </w:rPr>
        <w:t>万元，占本年收入</w:t>
      </w:r>
      <w:r>
        <w:rPr>
          <w:rFonts w:hint="eastAsia" w:ascii="仿宋" w:hAnsi="仿宋" w:eastAsia="仿宋" w:cs="仿宋_GB2312"/>
          <w:color w:val="333333"/>
          <w:kern w:val="0"/>
          <w:sz w:val="32"/>
          <w:szCs w:val="32"/>
        </w:rPr>
        <w:t>100</w:t>
      </w:r>
      <w:r>
        <w:rPr>
          <w:rFonts w:ascii="仿宋" w:hAnsi="仿宋" w:eastAsia="仿宋" w:cs="仿宋_GB2312"/>
          <w:color w:val="333333"/>
          <w:kern w:val="0"/>
          <w:sz w:val="32"/>
          <w:szCs w:val="32"/>
        </w:rPr>
        <w:t>%；本年支出总计</w:t>
      </w:r>
      <w:r>
        <w:rPr>
          <w:rFonts w:hint="eastAsia" w:ascii="仿宋" w:hAnsi="仿宋" w:eastAsia="仿宋" w:cs="仿宋_GB2312"/>
          <w:color w:val="333333"/>
          <w:kern w:val="0"/>
          <w:sz w:val="32"/>
          <w:szCs w:val="32"/>
          <w:lang w:val="en-US" w:eastAsia="zh-CN"/>
        </w:rPr>
        <w:t>524.82</w:t>
      </w:r>
      <w:r>
        <w:rPr>
          <w:rFonts w:ascii="仿宋" w:hAnsi="仿宋" w:eastAsia="仿宋" w:cs="仿宋_GB2312"/>
          <w:color w:val="333333"/>
          <w:kern w:val="0"/>
          <w:sz w:val="32"/>
          <w:szCs w:val="32"/>
        </w:rPr>
        <w:t>万元，其中：</w:t>
      </w:r>
      <w:r>
        <w:rPr>
          <w:rFonts w:hint="eastAsia" w:ascii="仿宋" w:hAnsi="仿宋" w:eastAsia="仿宋" w:cs="仿宋_GB2312"/>
          <w:color w:val="333333"/>
          <w:kern w:val="0"/>
          <w:sz w:val="32"/>
          <w:szCs w:val="32"/>
        </w:rPr>
        <w:t>财政拨款</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lang w:val="en-US" w:eastAsia="zh-CN"/>
        </w:rPr>
        <w:t>524.82</w:t>
      </w:r>
      <w:r>
        <w:rPr>
          <w:rFonts w:ascii="仿宋" w:hAnsi="仿宋" w:eastAsia="仿宋" w:cs="仿宋_GB2312"/>
          <w:color w:val="333333"/>
          <w:kern w:val="0"/>
          <w:sz w:val="32"/>
          <w:szCs w:val="32"/>
        </w:rPr>
        <w:t>万元，占本年支出的</w:t>
      </w:r>
      <w:r>
        <w:rPr>
          <w:rFonts w:hint="eastAsia" w:ascii="仿宋" w:hAnsi="仿宋" w:eastAsia="仿宋" w:cs="仿宋_GB2312"/>
          <w:color w:val="333333"/>
          <w:kern w:val="0"/>
          <w:sz w:val="32"/>
          <w:szCs w:val="32"/>
        </w:rPr>
        <w:t>100</w:t>
      </w:r>
      <w:r>
        <w:rPr>
          <w:rFonts w:ascii="仿宋" w:hAnsi="仿宋" w:eastAsia="仿宋" w:cs="仿宋_GB2312"/>
          <w:color w:val="333333"/>
          <w:kern w:val="0"/>
          <w:sz w:val="32"/>
          <w:szCs w:val="32"/>
        </w:rPr>
        <w:t>%</w:t>
      </w:r>
      <w:r>
        <w:rPr>
          <w:rFonts w:hint="eastAsia" w:ascii="仿宋" w:hAnsi="仿宋" w:eastAsia="仿宋" w:cs="仿宋_GB2312"/>
          <w:color w:val="333333"/>
          <w:kern w:val="0"/>
          <w:sz w:val="32"/>
          <w:szCs w:val="32"/>
        </w:rPr>
        <w:t>。主要是工资福利支出、对个人家庭的补助、商品和服务支出中公用经费支出。</w:t>
      </w:r>
      <w:r>
        <w:rPr>
          <w:rFonts w:ascii="仿宋" w:hAnsi="仿宋" w:eastAsia="仿宋" w:cs="仿宋_GB2312"/>
          <w:color w:val="333333"/>
          <w:kern w:val="0"/>
          <w:sz w:val="32"/>
          <w:szCs w:val="32"/>
        </w:rPr>
        <w:t>20</w:t>
      </w:r>
      <w:r>
        <w:rPr>
          <w:rFonts w:hint="eastAsia" w:ascii="仿宋" w:hAnsi="仿宋" w:eastAsia="仿宋" w:cs="仿宋_GB2312"/>
          <w:color w:val="333333"/>
          <w:kern w:val="0"/>
          <w:sz w:val="32"/>
          <w:szCs w:val="32"/>
        </w:rPr>
        <w:t>2</w:t>
      </w:r>
      <w:r>
        <w:rPr>
          <w:rFonts w:hint="eastAsia" w:ascii="仿宋" w:hAnsi="仿宋" w:eastAsia="仿宋" w:cs="仿宋_GB2312"/>
          <w:color w:val="333333"/>
          <w:kern w:val="0"/>
          <w:sz w:val="32"/>
          <w:szCs w:val="32"/>
          <w:lang w:val="en-US" w:eastAsia="zh-CN"/>
        </w:rPr>
        <w:t>1</w:t>
      </w:r>
      <w:r>
        <w:rPr>
          <w:rFonts w:ascii="仿宋" w:hAnsi="仿宋" w:eastAsia="仿宋" w:cs="仿宋_GB2312"/>
          <w:color w:val="333333"/>
          <w:kern w:val="0"/>
          <w:sz w:val="32"/>
          <w:szCs w:val="32"/>
        </w:rPr>
        <w:t>年度</w:t>
      </w:r>
      <w:r>
        <w:rPr>
          <w:rFonts w:hint="eastAsia" w:ascii="仿宋" w:hAnsi="仿宋" w:eastAsia="仿宋" w:cs="仿宋_GB2312"/>
          <w:color w:val="333333"/>
          <w:kern w:val="0"/>
          <w:sz w:val="32"/>
          <w:szCs w:val="32"/>
        </w:rPr>
        <w:t>总</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lang w:val="en-US" w:eastAsia="zh-CN"/>
        </w:rPr>
        <w:t>524.82</w:t>
      </w:r>
      <w:r>
        <w:rPr>
          <w:rFonts w:ascii="仿宋" w:hAnsi="仿宋" w:eastAsia="仿宋" w:cs="仿宋_GB2312"/>
          <w:color w:val="333333"/>
          <w:kern w:val="0"/>
          <w:sz w:val="32"/>
          <w:szCs w:val="32"/>
        </w:rPr>
        <w:t>万元，其中人员经费支出</w:t>
      </w:r>
      <w:r>
        <w:rPr>
          <w:rFonts w:hint="eastAsia" w:ascii="仿宋" w:hAnsi="仿宋" w:eastAsia="仿宋" w:cs="仿宋_GB2312"/>
          <w:color w:val="333333"/>
          <w:kern w:val="0"/>
          <w:sz w:val="32"/>
          <w:szCs w:val="32"/>
          <w:lang w:val="en-US" w:eastAsia="zh-CN"/>
        </w:rPr>
        <w:t>289.47</w:t>
      </w:r>
      <w:r>
        <w:rPr>
          <w:rFonts w:ascii="仿宋" w:hAnsi="仿宋" w:eastAsia="仿宋" w:cs="仿宋_GB2312"/>
          <w:color w:val="333333"/>
          <w:kern w:val="0"/>
          <w:sz w:val="32"/>
          <w:szCs w:val="32"/>
        </w:rPr>
        <w:t>万元，用于基本工资、津补贴、考核绩效工资、奖金发放、社会保障缴费、职业年金缴费等支出；公用支出</w:t>
      </w:r>
      <w:r>
        <w:rPr>
          <w:rFonts w:hint="eastAsia" w:ascii="仿宋" w:hAnsi="仿宋" w:eastAsia="仿宋" w:cs="仿宋_GB2312"/>
          <w:color w:val="333333"/>
          <w:kern w:val="0"/>
          <w:sz w:val="32"/>
          <w:szCs w:val="32"/>
        </w:rPr>
        <w:t>2</w:t>
      </w:r>
      <w:r>
        <w:rPr>
          <w:rFonts w:hint="eastAsia" w:ascii="仿宋" w:hAnsi="仿宋" w:eastAsia="仿宋" w:cs="仿宋_GB2312"/>
          <w:color w:val="333333"/>
          <w:kern w:val="0"/>
          <w:sz w:val="32"/>
          <w:szCs w:val="32"/>
          <w:lang w:val="en-US" w:eastAsia="zh-CN"/>
        </w:rPr>
        <w:t>35.35</w:t>
      </w:r>
      <w:r>
        <w:rPr>
          <w:rFonts w:ascii="仿宋" w:hAnsi="仿宋" w:eastAsia="仿宋" w:cs="仿宋_GB2312"/>
          <w:color w:val="333333"/>
          <w:kern w:val="0"/>
          <w:sz w:val="32"/>
          <w:szCs w:val="32"/>
        </w:rPr>
        <w:t>万元，主要用于办公费、工会经费</w:t>
      </w:r>
      <w:r>
        <w:rPr>
          <w:rFonts w:hint="eastAsia" w:ascii="仿宋" w:hAnsi="仿宋" w:eastAsia="仿宋" w:cs="仿宋_GB2312"/>
          <w:color w:val="333333"/>
          <w:kern w:val="0"/>
          <w:sz w:val="32"/>
          <w:szCs w:val="32"/>
        </w:rPr>
        <w:t>、水、电费、维（护）费、办公设备购置</w:t>
      </w:r>
      <w:r>
        <w:rPr>
          <w:rFonts w:ascii="仿宋" w:hAnsi="仿宋" w:eastAsia="仿宋" w:cs="仿宋_GB2312"/>
          <w:color w:val="333333"/>
          <w:kern w:val="0"/>
          <w:sz w:val="32"/>
          <w:szCs w:val="32"/>
        </w:rPr>
        <w:t>等</w:t>
      </w:r>
      <w:r>
        <w:rPr>
          <w:rFonts w:hint="eastAsia" w:ascii="仿宋" w:hAnsi="仿宋" w:eastAsia="仿宋" w:cs="仿宋_GB2312"/>
          <w:color w:val="333333"/>
          <w:kern w:val="0"/>
          <w:sz w:val="32"/>
          <w:szCs w:val="32"/>
        </w:rPr>
        <w:t>日常</w:t>
      </w:r>
      <w:r>
        <w:rPr>
          <w:rFonts w:ascii="仿宋" w:hAnsi="仿宋" w:eastAsia="仿宋" w:cs="仿宋_GB2312"/>
          <w:color w:val="333333"/>
          <w:kern w:val="0"/>
          <w:sz w:val="32"/>
          <w:szCs w:val="32"/>
        </w:rPr>
        <w:t>方面支出；</w:t>
      </w:r>
      <w:r>
        <w:rPr>
          <w:rFonts w:hint="eastAsia" w:ascii="仿宋" w:hAnsi="仿宋" w:eastAsia="仿宋" w:cs="仿宋_GB2312"/>
          <w:color w:val="333333"/>
          <w:kern w:val="0"/>
          <w:sz w:val="32"/>
          <w:szCs w:val="32"/>
        </w:rPr>
        <w:t>。</w:t>
      </w:r>
    </w:p>
    <w:p>
      <w:pPr>
        <w:pStyle w:val="8"/>
        <w:tabs>
          <w:tab w:val="left" w:pos="867"/>
        </w:tabs>
        <w:spacing w:line="500" w:lineRule="exact"/>
        <w:ind w:firstLine="640" w:firstLineChars="200"/>
        <w:rPr>
          <w:rFonts w:ascii="Times New Roman" w:hAnsi="Times New Roman" w:eastAsia="仿宋_GB2312" w:cs="Times New Roman"/>
          <w:b/>
          <w:sz w:val="32"/>
          <w:szCs w:val="32"/>
          <w:lang w:val="en-US"/>
        </w:rPr>
      </w:pPr>
      <w:r>
        <w:rPr>
          <w:rFonts w:hint="eastAsia" w:ascii="Times New Roman" w:hAnsi="Times New Roman" w:eastAsia="仿宋_GB2312" w:cs="Times New Roman"/>
          <w:color w:val="000000"/>
          <w:kern w:val="0"/>
          <w:sz w:val="32"/>
          <w:szCs w:val="32"/>
        </w:rPr>
        <w:t>街道</w:t>
      </w:r>
      <w:r>
        <w:rPr>
          <w:rFonts w:ascii="Times New Roman" w:hAnsi="Times New Roman" w:eastAsia="仿宋_GB2312" w:cs="Times New Roman"/>
          <w:color w:val="000000"/>
          <w:kern w:val="0"/>
          <w:sz w:val="32"/>
          <w:szCs w:val="32"/>
        </w:rPr>
        <w:t>严格落实中央厉行节约的有关规定</w:t>
      </w:r>
      <w:r>
        <w:rPr>
          <w:rFonts w:hint="eastAsia" w:eastAsia="仿宋_GB2312" w:cs="Times New Roman"/>
          <w:color w:val="000000"/>
          <w:kern w:val="0"/>
          <w:sz w:val="32"/>
          <w:szCs w:val="32"/>
        </w:rPr>
        <w:t>，</w:t>
      </w:r>
      <w:r>
        <w:rPr>
          <w:rFonts w:ascii="Times New Roman" w:hAnsi="Times New Roman" w:eastAsia="仿宋_GB2312" w:cs="Times New Roman"/>
          <w:color w:val="000000"/>
          <w:kern w:val="0"/>
          <w:sz w:val="32"/>
          <w:szCs w:val="32"/>
        </w:rPr>
        <w:t>严把“三公”经费使用关。20</w:t>
      </w:r>
      <w:r>
        <w:rPr>
          <w:rFonts w:hint="eastAsia" w:ascii="Times New Roman" w:hAnsi="Times New Roman" w:eastAsia="仿宋_GB2312" w:cs="Times New Roman"/>
          <w:color w:val="000000"/>
          <w:kern w:val="0"/>
          <w:sz w:val="32"/>
          <w:szCs w:val="32"/>
          <w:lang w:val="en-US"/>
        </w:rPr>
        <w:t>2</w:t>
      </w:r>
      <w:r>
        <w:rPr>
          <w:rFonts w:hint="eastAsia" w:ascii="Times New Roman" w:hAnsi="Times New Roman" w:eastAsia="仿宋_GB2312" w:cs="Times New Roman"/>
          <w:color w:val="000000"/>
          <w:kern w:val="0"/>
          <w:sz w:val="32"/>
          <w:szCs w:val="32"/>
          <w:lang w:val="en-US" w:eastAsia="zh-CN"/>
        </w:rPr>
        <w:t>1</w:t>
      </w:r>
      <w:r>
        <w:rPr>
          <w:rFonts w:ascii="Times New Roman" w:hAnsi="Times New Roman" w:eastAsia="仿宋_GB2312" w:cs="Times New Roman"/>
          <w:color w:val="000000"/>
          <w:kern w:val="0"/>
          <w:sz w:val="32"/>
          <w:szCs w:val="32"/>
        </w:rPr>
        <w:t>年度“三公”经费预算支出</w:t>
      </w:r>
      <w:r>
        <w:rPr>
          <w:rFonts w:hint="eastAsia" w:eastAsia="仿宋_GB2312" w:cs="Times New Roman"/>
          <w:color w:val="000000"/>
          <w:kern w:val="0"/>
          <w:sz w:val="32"/>
          <w:szCs w:val="32"/>
          <w:lang w:val="en-US"/>
        </w:rPr>
        <w:t>0</w:t>
      </w:r>
      <w:r>
        <w:rPr>
          <w:rFonts w:ascii="Times New Roman" w:hAnsi="Times New Roman" w:eastAsia="仿宋_GB2312" w:cs="Times New Roman"/>
          <w:color w:val="000000"/>
          <w:kern w:val="0"/>
          <w:sz w:val="32"/>
          <w:szCs w:val="32"/>
        </w:rPr>
        <w:t>万元。 “三公”经费实际支出</w:t>
      </w:r>
      <w:r>
        <w:rPr>
          <w:rFonts w:hint="eastAsia" w:eastAsia="仿宋_GB2312" w:cs="Times New Roman"/>
          <w:color w:val="000000"/>
          <w:kern w:val="0"/>
          <w:sz w:val="32"/>
          <w:szCs w:val="32"/>
          <w:lang w:val="en-US"/>
        </w:rPr>
        <w:t>0</w:t>
      </w:r>
      <w:r>
        <w:rPr>
          <w:rFonts w:ascii="Times New Roman" w:hAnsi="Times New Roman" w:eastAsia="仿宋_GB2312" w:cs="Times New Roman"/>
          <w:color w:val="000000"/>
          <w:kern w:val="0"/>
          <w:sz w:val="32"/>
          <w:szCs w:val="32"/>
        </w:rPr>
        <w:t>万元，其中：因公出国（境）费无，公务用车运行维护费</w:t>
      </w:r>
      <w:r>
        <w:rPr>
          <w:rFonts w:hint="eastAsia" w:eastAsia="仿宋_GB2312" w:cs="Times New Roman"/>
          <w:color w:val="000000"/>
          <w:kern w:val="0"/>
          <w:sz w:val="32"/>
          <w:szCs w:val="32"/>
          <w:lang w:val="en-US"/>
        </w:rPr>
        <w:t>0</w:t>
      </w:r>
      <w:r>
        <w:rPr>
          <w:rFonts w:ascii="Times New Roman" w:hAnsi="Times New Roman" w:eastAsia="仿宋_GB2312" w:cs="Times New Roman"/>
          <w:color w:val="000000"/>
          <w:kern w:val="0"/>
          <w:sz w:val="32"/>
          <w:szCs w:val="32"/>
        </w:rPr>
        <w:t>万元，公务接待费</w:t>
      </w:r>
      <w:r>
        <w:rPr>
          <w:rFonts w:hint="eastAsia" w:eastAsia="仿宋_GB2312" w:cs="Times New Roman"/>
          <w:color w:val="000000"/>
          <w:kern w:val="0"/>
          <w:sz w:val="32"/>
          <w:szCs w:val="32"/>
          <w:lang w:val="en-US"/>
        </w:rPr>
        <w:t>0</w:t>
      </w:r>
      <w:r>
        <w:rPr>
          <w:rFonts w:ascii="Times New Roman" w:hAnsi="Times New Roman" w:eastAsia="仿宋_GB2312" w:cs="Times New Roman"/>
          <w:color w:val="000000"/>
          <w:kern w:val="0"/>
          <w:sz w:val="32"/>
          <w:szCs w:val="32"/>
        </w:rPr>
        <w:t>万元，均未超预算。</w:t>
      </w:r>
    </w:p>
    <w:p>
      <w:pPr>
        <w:pStyle w:val="8"/>
        <w:tabs>
          <w:tab w:val="left" w:pos="1111"/>
        </w:tabs>
        <w:spacing w:line="500" w:lineRule="exact"/>
        <w:ind w:firstLine="643" w:firstLineChars="200"/>
        <w:jc w:val="left"/>
        <w:rPr>
          <w:rFonts w:ascii="仿宋" w:hAnsi="仿宋" w:eastAsia="仿宋" w:cs="仿宋"/>
          <w:b/>
          <w:bCs/>
          <w:sz w:val="32"/>
          <w:szCs w:val="32"/>
        </w:rPr>
      </w:pPr>
      <w:r>
        <w:rPr>
          <w:rFonts w:hint="eastAsia" w:ascii="仿宋" w:hAnsi="仿宋" w:eastAsia="仿宋" w:cs="仿宋"/>
          <w:b/>
          <w:bCs/>
          <w:color w:val="000000"/>
          <w:sz w:val="32"/>
          <w:szCs w:val="32"/>
          <w:lang w:val="en-US"/>
        </w:rPr>
        <w:t>2、</w:t>
      </w:r>
      <w:r>
        <w:rPr>
          <w:rFonts w:hint="eastAsia" w:ascii="仿宋" w:hAnsi="仿宋" w:eastAsia="仿宋" w:cs="仿宋"/>
          <w:b/>
          <w:bCs/>
          <w:color w:val="000000"/>
          <w:sz w:val="32"/>
          <w:szCs w:val="32"/>
        </w:rPr>
        <w:t>项目支出</w:t>
      </w:r>
    </w:p>
    <w:p>
      <w:pPr>
        <w:ind w:firstLine="645"/>
        <w:rPr>
          <w:rFonts w:ascii="仿宋" w:hAnsi="仿宋" w:eastAsia="仿宋" w:cs="仿宋_GB2312"/>
          <w:color w:val="333333"/>
          <w:kern w:val="0"/>
          <w:sz w:val="32"/>
          <w:szCs w:val="32"/>
        </w:rPr>
      </w:pPr>
      <w:r>
        <w:rPr>
          <w:rFonts w:hint="eastAsia" w:ascii="仿宋" w:hAnsi="仿宋" w:eastAsia="仿宋" w:cs="仿宋"/>
          <w:sz w:val="32"/>
          <w:szCs w:val="32"/>
        </w:rPr>
        <w:t>我单位未做项目支出。</w:t>
      </w:r>
    </w:p>
    <w:bookmarkEnd w:id="5"/>
    <w:p>
      <w:pPr>
        <w:pStyle w:val="8"/>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三、</w:t>
      </w:r>
      <w:r>
        <w:rPr>
          <w:rFonts w:hint="eastAsia" w:ascii="仿宋_GB2312" w:hAnsi="仿宋_GB2312" w:eastAsia="仿宋_GB2312" w:cs="仿宋_GB2312"/>
          <w:b/>
          <w:bCs/>
          <w:color w:val="000000"/>
          <w:spacing w:val="0"/>
          <w:w w:val="100"/>
          <w:position w:val="0"/>
          <w:sz w:val="32"/>
          <w:szCs w:val="32"/>
        </w:rPr>
        <w:t>部门项目组织实施情况</w:t>
      </w:r>
    </w:p>
    <w:p>
      <w:pPr>
        <w:ind w:firstLine="645"/>
        <w:rPr>
          <w:rFonts w:ascii="仿宋" w:hAnsi="仿宋" w:eastAsia="仿宋" w:cs="仿宋_GB2312"/>
          <w:color w:val="333333"/>
          <w:kern w:val="0"/>
          <w:sz w:val="32"/>
          <w:szCs w:val="32"/>
        </w:rPr>
      </w:pPr>
      <w:r>
        <w:rPr>
          <w:rFonts w:hint="eastAsia" w:ascii="仿宋" w:hAnsi="仿宋" w:eastAsia="仿宋" w:cs="仿宋"/>
          <w:sz w:val="32"/>
          <w:szCs w:val="32"/>
        </w:rPr>
        <w:t>我单位未做项目支出。</w:t>
      </w:r>
    </w:p>
    <w:p>
      <w:pPr>
        <w:pStyle w:val="8"/>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仿宋_GB2312" w:hAnsi="仿宋_GB2312" w:eastAsia="仿宋_GB2312" w:cs="仿宋_GB2312"/>
          <w:b/>
          <w:bCs/>
          <w:color w:val="000000"/>
          <w:spacing w:val="0"/>
          <w:w w:val="100"/>
          <w:position w:val="0"/>
          <w:sz w:val="32"/>
          <w:szCs w:val="32"/>
        </w:rPr>
      </w:pPr>
    </w:p>
    <w:p>
      <w:pPr>
        <w:pStyle w:val="8"/>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仿宋_GB2312" w:hAnsi="仿宋_GB2312" w:eastAsia="仿宋_GB2312" w:cs="仿宋_GB2312"/>
          <w:b/>
          <w:bCs/>
          <w:color w:val="000000"/>
          <w:spacing w:val="0"/>
          <w:w w:val="100"/>
          <w:position w:val="0"/>
          <w:sz w:val="32"/>
          <w:szCs w:val="32"/>
        </w:rPr>
      </w:pPr>
    </w:p>
    <w:p>
      <w:pPr>
        <w:pStyle w:val="8"/>
        <w:keepNext w:val="0"/>
        <w:keepLines w:val="0"/>
        <w:pageBreakBefore w:val="0"/>
        <w:widowControl w:val="0"/>
        <w:numPr>
          <w:ilvl w:val="0"/>
          <w:numId w:val="2"/>
        </w:numPr>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资产管理情况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val="0"/>
          <w:bCs w:val="0"/>
          <w:color w:val="000000"/>
          <w:spacing w:val="0"/>
          <w:w w:val="100"/>
          <w:position w:val="0"/>
          <w:sz w:val="32"/>
          <w:szCs w:val="32"/>
          <w:lang w:eastAsia="zh-CN"/>
        </w:rPr>
        <w:t>加强资产管理，</w:t>
      </w:r>
      <w:r>
        <w:rPr>
          <w:rFonts w:hint="eastAsia" w:ascii="仿宋" w:hAnsi="仿宋" w:eastAsia="仿宋" w:cs="仿宋"/>
          <w:color w:val="000000"/>
          <w:spacing w:val="0"/>
          <w:w w:val="100"/>
          <w:position w:val="0"/>
          <w:sz w:val="32"/>
          <w:szCs w:val="32"/>
          <w:lang w:eastAsia="zh-CN"/>
        </w:rPr>
        <w:t>我单位资产按类别分为办公服务用房、办公通用设备、家具用具，</w:t>
      </w:r>
      <w:r>
        <w:rPr>
          <w:rFonts w:hint="eastAsia" w:ascii="仿宋" w:hAnsi="仿宋" w:eastAsia="仿宋" w:cs="仿宋"/>
          <w:color w:val="000000"/>
          <w:spacing w:val="0"/>
          <w:w w:val="100"/>
          <w:position w:val="0"/>
          <w:sz w:val="32"/>
          <w:szCs w:val="32"/>
          <w:lang w:val="en-US" w:eastAsia="zh-CN"/>
        </w:rPr>
        <w:t>对资产的配置计入财务固定资产明细账，制定固定资产管理制度，对资产配置严格按规定标准配备，资产处置实行报批审核</w:t>
      </w:r>
      <w:r>
        <w:rPr>
          <w:rFonts w:hint="eastAsia" w:ascii="仿宋" w:hAnsi="仿宋" w:eastAsia="仿宋" w:cs="仿宋"/>
          <w:color w:val="000000"/>
          <w:spacing w:val="0"/>
          <w:w w:val="100"/>
          <w:position w:val="0"/>
          <w:sz w:val="32"/>
          <w:szCs w:val="32"/>
        </w:rPr>
        <w:t>。</w:t>
      </w:r>
      <w:bookmarkStart w:id="7" w:name="_GoBack"/>
      <w:bookmarkEnd w:id="7"/>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leftChars="20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8"/>
        <w:spacing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rPr>
        <w:t>2</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苗圃街道</w:t>
      </w:r>
      <w:r>
        <w:rPr>
          <w:rFonts w:ascii="Times New Roman" w:hAnsi="Times New Roman" w:eastAsia="仿宋_GB2312" w:cs="Times New Roman"/>
          <w:color w:val="000000"/>
          <w:sz w:val="32"/>
          <w:szCs w:val="32"/>
        </w:rPr>
        <w:t>积极履职，强化管理，优质高效的完成了年度工作目标</w:t>
      </w:r>
      <w:r>
        <w:rPr>
          <w:rFonts w:hint="eastAsia" w:ascii="Times New Roman" w:hAnsi="Times New Roman" w:eastAsia="仿宋_GB2312" w:cs="Times New Roman"/>
          <w:color w:val="000000"/>
          <w:sz w:val="32"/>
          <w:szCs w:val="32"/>
        </w:rPr>
        <w:t>，确保了街道、社区两级正常运转</w:t>
      </w:r>
      <w:r>
        <w:rPr>
          <w:rFonts w:ascii="Times New Roman" w:hAnsi="Times New Roman" w:eastAsia="仿宋_GB2312" w:cs="Times New Roman"/>
          <w:color w:val="000000"/>
          <w:sz w:val="32"/>
          <w:szCs w:val="32"/>
        </w:rPr>
        <w:t>。</w:t>
      </w:r>
      <w:r>
        <w:rPr>
          <w:rFonts w:eastAsia="仿宋_GB2312"/>
          <w:color w:val="000000"/>
          <w:sz w:val="32"/>
          <w:szCs w:val="32"/>
        </w:rPr>
        <w:t>根据部门整体支出绩效评价指标体系，我单位20</w:t>
      </w:r>
      <w:r>
        <w:rPr>
          <w:rFonts w:hint="eastAsia" w:eastAsia="仿宋_GB2312"/>
          <w:color w:val="000000"/>
          <w:sz w:val="32"/>
          <w:szCs w:val="32"/>
          <w:lang w:val="en-US"/>
        </w:rPr>
        <w:t>2</w:t>
      </w:r>
      <w:r>
        <w:rPr>
          <w:rFonts w:hint="eastAsia" w:eastAsia="仿宋_GB2312"/>
          <w:color w:val="000000"/>
          <w:sz w:val="32"/>
          <w:szCs w:val="32"/>
          <w:lang w:val="en-US" w:eastAsia="zh-CN"/>
        </w:rPr>
        <w:t>1</w:t>
      </w:r>
      <w:r>
        <w:rPr>
          <w:rFonts w:eastAsia="仿宋_GB2312"/>
          <w:color w:val="000000"/>
          <w:sz w:val="32"/>
          <w:szCs w:val="32"/>
        </w:rPr>
        <w:t>年度评价得分为</w:t>
      </w:r>
      <w:r>
        <w:rPr>
          <w:rFonts w:hint="eastAsia" w:eastAsia="仿宋_GB2312"/>
          <w:color w:val="000000"/>
          <w:sz w:val="32"/>
          <w:szCs w:val="32"/>
        </w:rPr>
        <w:t>9</w:t>
      </w:r>
      <w:r>
        <w:rPr>
          <w:rFonts w:hint="eastAsia" w:eastAsia="仿宋_GB2312"/>
          <w:color w:val="000000"/>
          <w:sz w:val="32"/>
          <w:szCs w:val="32"/>
          <w:lang w:val="en-US" w:eastAsia="zh-CN"/>
        </w:rPr>
        <w:t>6</w:t>
      </w:r>
      <w:r>
        <w:rPr>
          <w:rFonts w:eastAsia="仿宋_GB2312"/>
          <w:color w:val="000000"/>
          <w:sz w:val="32"/>
          <w:szCs w:val="32"/>
        </w:rPr>
        <w:t>分。部门整体支出绩效情况如下：</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充分做好关于辖区内民政社会救助、残疾人帮扶、医疗救助、困难群众帮扶等民政事务工作；</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rPr>
        <w:t>为辖区居民群众提供再</w:t>
      </w:r>
      <w:r>
        <w:rPr>
          <w:rFonts w:hint="eastAsia" w:ascii="Times New Roman" w:hAnsi="Times New Roman" w:eastAsia="仿宋_GB2312" w:cs="Times New Roman"/>
          <w:color w:val="000000"/>
          <w:sz w:val="32"/>
          <w:szCs w:val="32"/>
        </w:rPr>
        <w:t>就业帮扶、办理退休认证、就业补贴申报、办理居民医保等就业服务工作；</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rPr>
        <w:t>协助做好</w:t>
      </w:r>
      <w:r>
        <w:rPr>
          <w:rFonts w:hint="eastAsia" w:ascii="Times New Roman" w:hAnsi="Times New Roman" w:eastAsia="仿宋_GB2312" w:cs="Times New Roman"/>
          <w:color w:val="000000"/>
          <w:sz w:val="32"/>
          <w:szCs w:val="32"/>
        </w:rPr>
        <w:t>综合治理、矛盾调处、禁毒宣传等工作；</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rPr>
        <w:t>做好</w:t>
      </w:r>
      <w:r>
        <w:rPr>
          <w:rFonts w:hint="eastAsia" w:ascii="Times New Roman" w:hAnsi="Times New Roman" w:eastAsia="仿宋_GB2312" w:cs="Times New Roman"/>
          <w:color w:val="000000"/>
          <w:sz w:val="32"/>
          <w:szCs w:val="32"/>
        </w:rPr>
        <w:t>城市规范化管理工作；</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rPr>
        <w:t>积极开展创建文明城市、创建卫生城市创建工作；</w:t>
      </w:r>
    </w:p>
    <w:p>
      <w:pPr>
        <w:pStyle w:val="8"/>
        <w:numPr>
          <w:ilvl w:val="0"/>
          <w:numId w:val="3"/>
        </w:numPr>
        <w:spacing w:line="5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rPr>
        <w:t>提供</w:t>
      </w:r>
      <w:r>
        <w:rPr>
          <w:rFonts w:hint="eastAsia" w:ascii="Times New Roman" w:hAnsi="Times New Roman" w:eastAsia="仿宋_GB2312" w:cs="Times New Roman"/>
          <w:color w:val="000000"/>
          <w:sz w:val="32"/>
          <w:szCs w:val="32"/>
        </w:rPr>
        <w:t>卫生健康宣传服务；</w:t>
      </w:r>
    </w:p>
    <w:p>
      <w:pPr>
        <w:pStyle w:val="8"/>
        <w:numPr>
          <w:ilvl w:val="0"/>
          <w:numId w:val="3"/>
        </w:numPr>
        <w:spacing w:line="500" w:lineRule="exact"/>
        <w:ind w:firstLine="640" w:firstLineChars="200"/>
        <w:rPr>
          <w:rFonts w:ascii="仿宋" w:hAnsi="仿宋" w:eastAsia="仿宋" w:cs="仿宋"/>
          <w:sz w:val="32"/>
          <w:szCs w:val="32"/>
        </w:rPr>
      </w:pPr>
      <w:r>
        <w:rPr>
          <w:rFonts w:hint="eastAsia" w:ascii="Times New Roman" w:hAnsi="Times New Roman" w:eastAsia="仿宋_GB2312" w:cs="Times New Roman"/>
          <w:color w:val="000000"/>
          <w:sz w:val="32"/>
          <w:szCs w:val="32"/>
        </w:rPr>
        <w:t>大力开展基层党的建设各项活动，充分发挥基层党组织战斗堡垒作用，做好社区党员管理、教育、学习、服务工作；</w:t>
      </w:r>
    </w:p>
    <w:p>
      <w:pPr>
        <w:pStyle w:val="8"/>
        <w:numPr>
          <w:ilvl w:val="0"/>
          <w:numId w:val="3"/>
        </w:numPr>
        <w:spacing w:line="500" w:lineRule="exact"/>
        <w:ind w:firstLine="640" w:firstLineChars="200"/>
        <w:rPr>
          <w:rFonts w:ascii="仿宋" w:hAnsi="仿宋" w:eastAsia="仿宋" w:cs="仿宋"/>
          <w:sz w:val="32"/>
          <w:szCs w:val="32"/>
        </w:rPr>
      </w:pPr>
      <w:r>
        <w:rPr>
          <w:rFonts w:hint="eastAsia" w:ascii="Times New Roman" w:hAnsi="Times New Roman" w:eastAsia="仿宋_GB2312" w:cs="Times New Roman"/>
          <w:color w:val="000000"/>
          <w:sz w:val="32"/>
          <w:szCs w:val="32"/>
        </w:rPr>
        <w:t>积极开展社区青少年教育、志愿者服务等形式多样的文化娱乐活动；</w:t>
      </w:r>
    </w:p>
    <w:p>
      <w:pPr>
        <w:pStyle w:val="8"/>
        <w:numPr>
          <w:ilvl w:val="0"/>
          <w:numId w:val="3"/>
        </w:numPr>
        <w:spacing w:line="500" w:lineRule="exact"/>
        <w:ind w:firstLine="640" w:firstLineChars="200"/>
        <w:rPr>
          <w:rFonts w:ascii="仿宋" w:hAnsi="仿宋" w:eastAsia="仿宋" w:cs="仿宋"/>
          <w:sz w:val="32"/>
          <w:szCs w:val="32"/>
        </w:rPr>
      </w:pPr>
      <w:r>
        <w:rPr>
          <w:rFonts w:hint="eastAsia" w:ascii="Times New Roman" w:hAnsi="Times New Roman" w:eastAsia="仿宋_GB2312" w:cs="Times New Roman"/>
          <w:color w:val="000000"/>
          <w:sz w:val="32"/>
          <w:szCs w:val="32"/>
          <w:lang w:val="en-US"/>
        </w:rPr>
        <w:t>做好各部门职能下层至基层的各</w:t>
      </w:r>
      <w:r>
        <w:rPr>
          <w:rFonts w:hint="eastAsia" w:ascii="Times New Roman" w:hAnsi="Times New Roman" w:eastAsia="仿宋_GB2312" w:cs="Times New Roman"/>
          <w:color w:val="000000"/>
          <w:sz w:val="32"/>
          <w:szCs w:val="32"/>
        </w:rPr>
        <w:t>方面的政务服务工作。</w:t>
      </w:r>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Times New Roman" w:hAnsi="Times New Roman" w:eastAsia="仿宋_GB2312" w:cs="Times New Roman"/>
          <w:color w:val="000000"/>
          <w:sz w:val="32"/>
          <w:szCs w:val="32"/>
        </w:rPr>
        <w:t>苗圃街道和所辖八个社区的各项工作围绕着积极致力于为居民群众排忧解难，努力打造舒适宜居社区美好环境而开展，取得了良好的社会效益，群众满意度高。</w:t>
      </w:r>
      <w:r>
        <w:rPr>
          <w:rFonts w:hint="eastAsia" w:ascii="仿宋_GB2312" w:hAnsi="仿宋_GB2312" w:eastAsia="仿宋_GB2312" w:cs="仿宋_GB2312"/>
          <w:color w:val="000000"/>
          <w:spacing w:val="0"/>
          <w:w w:val="100"/>
          <w:position w:val="0"/>
          <w:sz w:val="32"/>
          <w:szCs w:val="32"/>
        </w:rPr>
        <w:t>反映部门履职及履职效益情况。</w:t>
      </w:r>
      <w:bookmarkStart w:id="6" w:name="bookmark103"/>
    </w:p>
    <w:bookmarkEnd w:id="6"/>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8"/>
        <w:tabs>
          <w:tab w:val="left" w:pos="886"/>
        </w:tabs>
        <w:spacing w:line="360" w:lineRule="auto"/>
        <w:ind w:firstLine="624" w:firstLineChars="200"/>
        <w:rPr>
          <w:rFonts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lang w:val="en-US"/>
        </w:rPr>
        <w:t>1、</w:t>
      </w:r>
      <w:r>
        <w:rPr>
          <w:rFonts w:hint="eastAsia" w:ascii="仿宋" w:hAnsi="仿宋" w:eastAsia="仿宋" w:cs="仿宋"/>
          <w:color w:val="000000"/>
          <w:spacing w:val="-4"/>
          <w:kern w:val="0"/>
          <w:sz w:val="32"/>
          <w:szCs w:val="32"/>
        </w:rPr>
        <w:t>财源结构单一，财政压力大，基层突发事件频繁，但可用财力不足。</w:t>
      </w:r>
    </w:p>
    <w:p>
      <w:pPr>
        <w:spacing w:line="360" w:lineRule="auto"/>
        <w:ind w:firstLine="624" w:firstLineChars="200"/>
        <w:rPr>
          <w:rFonts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rPr>
        <w:t>2、</w:t>
      </w:r>
      <w:r>
        <w:rPr>
          <w:rFonts w:ascii="仿宋" w:hAnsi="仿宋" w:eastAsia="仿宋" w:cs="仿宋"/>
          <w:color w:val="000000"/>
          <w:spacing w:val="-4"/>
          <w:kern w:val="0"/>
          <w:sz w:val="32"/>
          <w:szCs w:val="32"/>
        </w:rPr>
        <w:t>业务经费年初预算安排不足。由于预算安排不足，缺口资金只能调剂其他资金使用。</w:t>
      </w:r>
    </w:p>
    <w:p>
      <w:pPr>
        <w:spacing w:line="360" w:lineRule="auto"/>
        <w:ind w:firstLine="624" w:firstLineChars="200"/>
        <w:rPr>
          <w:rFonts w:ascii="仿宋" w:hAnsi="仿宋" w:eastAsia="仿宋" w:cs="仿宋"/>
          <w:color w:val="000000"/>
          <w:spacing w:val="-4"/>
          <w:kern w:val="0"/>
          <w:sz w:val="32"/>
          <w:szCs w:val="32"/>
        </w:rPr>
      </w:pPr>
      <w:r>
        <w:rPr>
          <w:rFonts w:hint="eastAsia" w:ascii="仿宋" w:hAnsi="仿宋" w:eastAsia="仿宋" w:cs="仿宋"/>
          <w:color w:val="000000"/>
          <w:spacing w:val="-4"/>
          <w:kern w:val="0"/>
          <w:sz w:val="32"/>
          <w:szCs w:val="32"/>
        </w:rPr>
        <w:t>3</w:t>
      </w:r>
      <w:r>
        <w:rPr>
          <w:rFonts w:ascii="仿宋" w:hAnsi="仿宋" w:eastAsia="仿宋" w:cs="仿宋"/>
          <w:color w:val="000000"/>
          <w:spacing w:val="-4"/>
          <w:kern w:val="0"/>
          <w:sz w:val="32"/>
          <w:szCs w:val="32"/>
        </w:rPr>
        <w:t>、年初预算编制不够精细，部分支出超预算。预算编制不够明确和细化，预算编制的合理性需要提高。</w:t>
      </w:r>
    </w:p>
    <w:p>
      <w:pPr>
        <w:pStyle w:val="8"/>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Style w:val="8"/>
        <w:tabs>
          <w:tab w:val="left" w:pos="886"/>
        </w:tabs>
        <w:spacing w:line="360" w:lineRule="auto"/>
        <w:ind w:firstLine="624" w:firstLineChars="200"/>
        <w:rPr>
          <w:rFonts w:ascii="仿宋" w:hAnsi="仿宋" w:eastAsia="仿宋" w:cs="仿宋"/>
          <w:b/>
          <w:color w:val="000000"/>
          <w:spacing w:val="-4"/>
          <w:kern w:val="0"/>
          <w:sz w:val="32"/>
          <w:szCs w:val="32"/>
        </w:rPr>
      </w:pPr>
      <w:r>
        <w:rPr>
          <w:rFonts w:hint="eastAsia" w:ascii="仿宋" w:hAnsi="仿宋" w:eastAsia="仿宋" w:cs="仿宋"/>
          <w:bCs/>
          <w:color w:val="000000"/>
          <w:spacing w:val="-4"/>
          <w:kern w:val="0"/>
          <w:sz w:val="32"/>
          <w:szCs w:val="32"/>
          <w:lang w:eastAsia="zh-CN"/>
        </w:rPr>
        <w:t>（</w:t>
      </w:r>
      <w:r>
        <w:rPr>
          <w:rFonts w:hint="eastAsia" w:ascii="仿宋" w:hAnsi="仿宋" w:eastAsia="仿宋" w:cs="仿宋"/>
          <w:bCs/>
          <w:color w:val="000000"/>
          <w:spacing w:val="-4"/>
          <w:kern w:val="0"/>
          <w:sz w:val="32"/>
          <w:szCs w:val="32"/>
        </w:rPr>
        <w:t>一）加强财源建设。</w:t>
      </w:r>
      <w:r>
        <w:rPr>
          <w:rFonts w:hint="eastAsia" w:ascii="仿宋" w:hAnsi="仿宋" w:eastAsia="仿宋" w:cs="仿宋"/>
          <w:color w:val="000000"/>
          <w:spacing w:val="-4"/>
          <w:kern w:val="0"/>
          <w:sz w:val="32"/>
          <w:szCs w:val="32"/>
        </w:rPr>
        <w:t>着力推进项目建设，以规范项目建设为东风，大力发展特色经济,培植财源项目,增强财政后劲力。</w:t>
      </w:r>
    </w:p>
    <w:p>
      <w:pPr>
        <w:widowControl/>
        <w:shd w:val="clear" w:color="auto" w:fill="FFFFFF"/>
        <w:spacing w:line="360" w:lineRule="auto"/>
        <w:ind w:firstLine="624" w:firstLineChars="200"/>
        <w:rPr>
          <w:rFonts w:ascii="仿宋" w:hAnsi="仿宋" w:eastAsia="仿宋" w:cs="仿宋"/>
          <w:color w:val="000000"/>
          <w:spacing w:val="-4"/>
          <w:kern w:val="0"/>
          <w:sz w:val="32"/>
          <w:szCs w:val="32"/>
        </w:rPr>
      </w:pPr>
      <w:r>
        <w:rPr>
          <w:rFonts w:hint="eastAsia" w:ascii="仿宋" w:hAnsi="仿宋" w:eastAsia="仿宋" w:cs="仿宋"/>
          <w:bCs/>
          <w:color w:val="000000"/>
          <w:spacing w:val="-4"/>
          <w:kern w:val="0"/>
          <w:sz w:val="32"/>
          <w:szCs w:val="32"/>
        </w:rPr>
        <w:t>（二）继续加强财政管理。</w:t>
      </w:r>
      <w:r>
        <w:rPr>
          <w:rFonts w:hint="eastAsia" w:ascii="仿宋" w:hAnsi="仿宋" w:eastAsia="仿宋" w:cs="仿宋"/>
          <w:color w:val="000000"/>
          <w:spacing w:val="-4"/>
          <w:kern w:val="0"/>
          <w:sz w:val="32"/>
          <w:szCs w:val="32"/>
        </w:rPr>
        <w:t>继续加强财政资金，特别是专项资金的管理与使用，实行严格的集中采购制度，提高资金使用效益，确保各项财政精细化、科学化管理措施落在实处，全力打造公共财政、阳光财政。</w:t>
      </w:r>
    </w:p>
    <w:p>
      <w:pPr>
        <w:pStyle w:val="8"/>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42E2E3B6"/>
    <w:multiLevelType w:val="singleLevel"/>
    <w:tmpl w:val="42E2E3B6"/>
    <w:lvl w:ilvl="0" w:tentative="0">
      <w:start w:val="4"/>
      <w:numFmt w:val="chineseCounting"/>
      <w:suff w:val="nothing"/>
      <w:lvlText w:val="%1、"/>
      <w:lvlJc w:val="left"/>
      <w:rPr>
        <w:rFonts w:hint="eastAsia"/>
      </w:rPr>
    </w:lvl>
  </w:abstractNum>
  <w:abstractNum w:abstractNumId="2">
    <w:nsid w:val="4D1065E1"/>
    <w:multiLevelType w:val="singleLevel"/>
    <w:tmpl w:val="4D1065E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WEyNWNjYmNhZjgzZGExNjllZTU0YTU2MWY0NGEifQ=="/>
  </w:docVars>
  <w:rsids>
    <w:rsidRoot w:val="00000000"/>
    <w:rsid w:val="018F5DCE"/>
    <w:rsid w:val="3500231B"/>
    <w:rsid w:val="37E00531"/>
    <w:rsid w:val="3950292F"/>
    <w:rsid w:val="3D1745D8"/>
    <w:rsid w:val="48623B31"/>
    <w:rsid w:val="52461FD5"/>
    <w:rsid w:val="525507AA"/>
    <w:rsid w:val="52F83A10"/>
    <w:rsid w:val="6E2B2A93"/>
    <w:rsid w:val="7126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Arial Unicode MS"/>
    </w:rPr>
  </w:style>
  <w:style w:type="paragraph" w:customStyle="1" w:styleId="5">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6">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7">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3279</Words>
  <Characters>3461</Characters>
  <Lines>0</Lines>
  <Paragraphs>0</Paragraphs>
  <TotalTime>0</TotalTime>
  <ScaleCrop>false</ScaleCrop>
  <LinksUpToDate>false</LinksUpToDate>
  <CharactersWithSpaces>3568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芷儿刘</cp:lastModifiedBy>
  <dcterms:modified xsi:type="dcterms:W3CDTF">2022-10-31T01:53:58Z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962492CB64C94637923073D9F77FDF1C</vt:lpwstr>
  </property>
</Properties>
</file>