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after="420" w:line="240" w:lineRule="auto"/>
        <w:ind w:left="0" w:leftChars="0" w:right="0" w:firstLine="0" w:firstLineChars="0"/>
        <w:jc w:val="center"/>
        <w:rPr>
          <w:rFonts w:hint="default" w:ascii="Times New Roman" w:hAnsi="Times New Roman" w:eastAsia="仿宋" w:cs="Times New Roman"/>
          <w:b/>
          <w:bCs/>
          <w:color w:val="000000"/>
          <w:spacing w:val="0"/>
          <w:w w:val="100"/>
          <w:position w:val="0"/>
          <w:sz w:val="32"/>
          <w:szCs w:val="32"/>
          <w:u w:val="none"/>
          <w:shd w:val="clear" w:color="auto" w:fill="auto"/>
          <w:lang w:val="en-US" w:eastAsia="zh-CN" w:bidi="zh-CN"/>
        </w:rPr>
      </w:pPr>
      <w:r>
        <w:rPr>
          <w:rFonts w:hint="default" w:ascii="Times New Roman" w:hAnsi="Times New Roman" w:eastAsia="仿宋" w:cs="Times New Roman"/>
          <w:b/>
          <w:bCs/>
          <w:color w:val="000000"/>
          <w:spacing w:val="0"/>
          <w:w w:val="100"/>
          <w:position w:val="0"/>
          <w:sz w:val="32"/>
          <w:szCs w:val="32"/>
          <w:u w:val="none"/>
          <w:shd w:val="clear" w:color="auto" w:fill="auto"/>
          <w:lang w:val="en-US" w:eastAsia="zh-CN" w:bidi="zh-CN"/>
        </w:rPr>
        <w:t>部</w:t>
      </w:r>
      <w:r>
        <w:rPr>
          <w:rFonts w:hint="eastAsia" w:ascii="Times New Roman" w:hAnsi="Times New Roman" w:eastAsia="仿宋" w:cs="Times New Roman"/>
          <w:b/>
          <w:bCs/>
          <w:color w:val="000000"/>
          <w:spacing w:val="0"/>
          <w:w w:val="100"/>
          <w:position w:val="0"/>
          <w:sz w:val="32"/>
          <w:szCs w:val="32"/>
          <w:u w:val="none"/>
          <w:shd w:val="clear" w:color="auto" w:fill="auto"/>
          <w:lang w:val="en-US" w:eastAsia="zh-CN" w:bidi="zh-CN"/>
        </w:rPr>
        <w:t>门</w:t>
      </w:r>
      <w:r>
        <w:rPr>
          <w:rFonts w:hint="default" w:ascii="Times New Roman" w:hAnsi="Times New Roman" w:eastAsia="仿宋" w:cs="Times New Roman"/>
          <w:b/>
          <w:bCs/>
          <w:color w:val="000000"/>
          <w:spacing w:val="0"/>
          <w:w w:val="100"/>
          <w:position w:val="0"/>
          <w:sz w:val="32"/>
          <w:szCs w:val="32"/>
          <w:u w:val="none"/>
          <w:shd w:val="clear" w:color="auto" w:fill="auto"/>
          <w:lang w:val="en-US" w:eastAsia="zh-CN" w:bidi="zh-CN"/>
        </w:rPr>
        <w:t>整体支出绩效评价指标表</w:t>
      </w:r>
    </w:p>
    <w:tbl>
      <w:tblPr>
        <w:tblStyle w:val="3"/>
        <w:tblW w:w="9872" w:type="dxa"/>
        <w:jc w:val="center"/>
        <w:tblLayout w:type="fixed"/>
        <w:tblCellMar>
          <w:top w:w="0" w:type="dxa"/>
          <w:left w:w="10" w:type="dxa"/>
          <w:bottom w:w="0" w:type="dxa"/>
          <w:right w:w="10" w:type="dxa"/>
        </w:tblCellMar>
      </w:tblPr>
      <w:tblGrid>
        <w:gridCol w:w="349"/>
        <w:gridCol w:w="543"/>
        <w:gridCol w:w="366"/>
        <w:gridCol w:w="666"/>
        <w:gridCol w:w="936"/>
        <w:gridCol w:w="398"/>
        <w:gridCol w:w="2704"/>
        <w:gridCol w:w="3178"/>
        <w:gridCol w:w="732"/>
      </w:tblGrid>
      <w:tr>
        <w:tblPrEx>
          <w:tblCellMar>
            <w:top w:w="0" w:type="dxa"/>
            <w:left w:w="10" w:type="dxa"/>
            <w:bottom w:w="0" w:type="dxa"/>
            <w:right w:w="10" w:type="dxa"/>
          </w:tblCellMar>
        </w:tblPrEx>
        <w:trPr>
          <w:trHeight w:val="1272" w:hRule="exact"/>
          <w:jc w:val="center"/>
        </w:trPr>
        <w:tc>
          <w:tcPr>
            <w:tcW w:w="349" w:type="dxa"/>
            <w:tcBorders>
              <w:top w:val="single" w:color="auto" w:sz="4" w:space="0"/>
              <w:left w:val="single" w:color="auto" w:sz="4" w:space="0"/>
            </w:tcBorders>
            <w:shd w:val="clear" w:color="auto" w:fill="FFFFFF"/>
            <w:noWrap w:val="0"/>
            <w:vAlign w:val="bottom"/>
          </w:tcPr>
          <w:p>
            <w:pPr>
              <w:pStyle w:val="6"/>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eastAsia="zh-CN"/>
              </w:rPr>
              <w:t>一</w:t>
            </w:r>
            <w:r>
              <w:rPr>
                <w:rFonts w:hint="eastAsia" w:ascii="宋体" w:hAnsi="宋体" w:eastAsia="宋体" w:cs="宋体"/>
                <w:color w:val="000000"/>
                <w:spacing w:val="0"/>
                <w:w w:val="100"/>
                <w:position w:val="0"/>
                <w:sz w:val="18"/>
                <w:szCs w:val="18"/>
              </w:rPr>
              <w:t>级 指 标</w:t>
            </w:r>
          </w:p>
        </w:tc>
        <w:tc>
          <w:tcPr>
            <w:tcW w:w="543"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366" w:type="dxa"/>
            <w:tcBorders>
              <w:top w:val="single" w:color="auto" w:sz="4" w:space="0"/>
              <w:left w:val="single" w:color="auto" w:sz="4" w:space="0"/>
            </w:tcBorders>
            <w:shd w:val="clear" w:color="auto" w:fill="FFFFFF"/>
            <w:noWrap w:val="0"/>
            <w:vAlign w:val="bottom"/>
          </w:tcPr>
          <w:p>
            <w:pPr>
              <w:pStyle w:val="6"/>
              <w:keepNext w:val="0"/>
              <w:keepLines w:val="0"/>
              <w:widowControl w:val="0"/>
              <w:shd w:val="clear" w:color="auto" w:fill="auto"/>
              <w:bidi w:val="0"/>
              <w:spacing w:before="0" w:after="0" w:line="312" w:lineRule="exact"/>
              <w:ind w:right="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eastAsia="zh-CN"/>
              </w:rPr>
              <w:t>二</w:t>
            </w:r>
            <w:r>
              <w:rPr>
                <w:rFonts w:hint="eastAsia" w:ascii="宋体" w:hAnsi="宋体" w:eastAsia="宋体" w:cs="宋体"/>
                <w:color w:val="000000"/>
                <w:spacing w:val="0"/>
                <w:w w:val="100"/>
                <w:position w:val="0"/>
                <w:sz w:val="18"/>
                <w:szCs w:val="18"/>
              </w:rPr>
              <w:t>级 指 标</w:t>
            </w:r>
          </w:p>
        </w:tc>
        <w:tc>
          <w:tcPr>
            <w:tcW w:w="66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93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三级指标</w:t>
            </w:r>
          </w:p>
        </w:tc>
        <w:tc>
          <w:tcPr>
            <w:tcW w:w="39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270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评价标准</w:t>
            </w:r>
          </w:p>
        </w:tc>
        <w:tc>
          <w:tcPr>
            <w:tcW w:w="317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指标说明</w:t>
            </w:r>
          </w:p>
        </w:tc>
        <w:tc>
          <w:tcPr>
            <w:tcW w:w="732"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得 分</w:t>
            </w:r>
          </w:p>
        </w:tc>
      </w:tr>
      <w:tr>
        <w:tblPrEx>
          <w:tblCellMar>
            <w:top w:w="0" w:type="dxa"/>
            <w:left w:w="10" w:type="dxa"/>
            <w:bottom w:w="0" w:type="dxa"/>
            <w:right w:w="10" w:type="dxa"/>
          </w:tblCellMar>
        </w:tblPrEx>
        <w:trPr>
          <w:trHeight w:val="2148" w:hRule="exact"/>
          <w:jc w:val="center"/>
        </w:trPr>
        <w:tc>
          <w:tcPr>
            <w:tcW w:w="349"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8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投</w:t>
            </w:r>
          </w:p>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入</w:t>
            </w:r>
          </w:p>
        </w:tc>
        <w:tc>
          <w:tcPr>
            <w:tcW w:w="543"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13</w:t>
            </w:r>
          </w:p>
        </w:tc>
        <w:tc>
          <w:tcPr>
            <w:tcW w:w="366"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0" w:lineRule="exact"/>
              <w:ind w:right="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预 算 配 置</w:t>
            </w:r>
          </w:p>
        </w:tc>
        <w:tc>
          <w:tcPr>
            <w:tcW w:w="666"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13</w:t>
            </w:r>
          </w:p>
        </w:tc>
        <w:tc>
          <w:tcPr>
            <w:tcW w:w="93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在职人员控制率</w:t>
            </w:r>
          </w:p>
        </w:tc>
        <w:tc>
          <w:tcPr>
            <w:tcW w:w="39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5</w:t>
            </w:r>
          </w:p>
        </w:tc>
        <w:tc>
          <w:tcPr>
            <w:tcW w:w="270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4"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以</w:t>
            </w:r>
            <w:r>
              <w:rPr>
                <w:rFonts w:hint="eastAsia" w:ascii="宋体" w:hAnsi="宋体" w:eastAsia="宋体" w:cs="宋体"/>
                <w:b/>
                <w:bCs/>
                <w:color w:val="000000"/>
                <w:spacing w:val="0"/>
                <w:w w:val="100"/>
                <w:position w:val="0"/>
                <w:sz w:val="18"/>
                <w:szCs w:val="18"/>
              </w:rPr>
              <w:t>100%</w:t>
            </w:r>
            <w:r>
              <w:rPr>
                <w:rFonts w:hint="eastAsia" w:ascii="宋体" w:hAnsi="宋体" w:eastAsia="宋体" w:cs="宋体"/>
                <w:color w:val="000000"/>
                <w:spacing w:val="0"/>
                <w:w w:val="100"/>
                <w:position w:val="0"/>
                <w:sz w:val="18"/>
                <w:szCs w:val="18"/>
              </w:rPr>
              <w:t>为标准。在职人员 控制率</w:t>
            </w:r>
            <w:r>
              <w:rPr>
                <w:rFonts w:hint="eastAsia" w:ascii="宋体" w:hAnsi="宋体" w:eastAsia="宋体" w:cs="宋体"/>
                <w:b/>
                <w:bCs/>
                <w:color w:val="000000"/>
                <w:spacing w:val="0"/>
                <w:w w:val="100"/>
                <w:position w:val="0"/>
                <w:sz w:val="18"/>
                <w:szCs w:val="18"/>
                <w:lang w:val="en-US" w:eastAsia="en-US" w:bidi="en-US"/>
              </w:rPr>
              <w:t xml:space="preserve">≦ </w:t>
            </w:r>
            <w:r>
              <w:rPr>
                <w:rFonts w:hint="eastAsia" w:ascii="宋体" w:hAnsi="宋体" w:eastAsia="宋体" w:cs="宋体"/>
                <w:b/>
                <w:bCs/>
                <w:color w:val="000000"/>
                <w:spacing w:val="0"/>
                <w:w w:val="100"/>
                <w:position w:val="0"/>
                <w:sz w:val="18"/>
                <w:szCs w:val="18"/>
              </w:rPr>
              <w:t>100%,</w:t>
            </w:r>
            <w:r>
              <w:rPr>
                <w:rFonts w:hint="eastAsia" w:ascii="宋体" w:hAnsi="宋体" w:eastAsia="宋体" w:cs="宋体"/>
                <w:color w:val="000000"/>
                <w:spacing w:val="0"/>
                <w:w w:val="100"/>
                <w:position w:val="0"/>
                <w:sz w:val="18"/>
                <w:szCs w:val="18"/>
              </w:rPr>
              <w:t>计</w:t>
            </w:r>
            <w:r>
              <w:rPr>
                <w:rFonts w:hint="eastAsia" w:ascii="宋体" w:hAnsi="宋体" w:eastAsia="宋体" w:cs="宋体"/>
                <w:b/>
                <w:bCs/>
                <w:color w:val="000000"/>
                <w:spacing w:val="0"/>
                <w:w w:val="100"/>
                <w:position w:val="0"/>
                <w:sz w:val="18"/>
                <w:szCs w:val="18"/>
              </w:rPr>
              <w:t>5</w:t>
            </w:r>
            <w:r>
              <w:rPr>
                <w:rFonts w:hint="eastAsia" w:ascii="宋体" w:hAnsi="宋体" w:eastAsia="宋体" w:cs="宋体"/>
                <w:color w:val="000000"/>
                <w:spacing w:val="0"/>
                <w:w w:val="100"/>
                <w:position w:val="0"/>
                <w:sz w:val="18"/>
                <w:szCs w:val="18"/>
              </w:rPr>
              <w:t>分；每 超过一个百分点扣</w:t>
            </w:r>
            <w:r>
              <w:rPr>
                <w:rFonts w:hint="eastAsia" w:ascii="宋体" w:hAnsi="宋体" w:eastAsia="宋体" w:cs="宋体"/>
                <w:b/>
                <w:bCs/>
                <w:color w:val="000000"/>
                <w:spacing w:val="0"/>
                <w:w w:val="100"/>
                <w:position w:val="0"/>
                <w:sz w:val="18"/>
                <w:szCs w:val="18"/>
                <w:lang w:val="en-US" w:eastAsia="en-US" w:bidi="en-US"/>
              </w:rPr>
              <w:t>0.5</w:t>
            </w:r>
            <w:r>
              <w:rPr>
                <w:rFonts w:hint="eastAsia" w:ascii="宋体" w:hAnsi="宋体" w:eastAsia="宋体" w:cs="宋体"/>
                <w:color w:val="000000"/>
                <w:spacing w:val="0"/>
                <w:w w:val="100"/>
                <w:position w:val="0"/>
                <w:sz w:val="18"/>
                <w:szCs w:val="18"/>
              </w:rPr>
              <w:t>分， 扣完为止。</w:t>
            </w:r>
          </w:p>
        </w:tc>
        <w:tc>
          <w:tcPr>
            <w:tcW w:w="317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3"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在职人员控制率=（在职人员数/ 编制数）×</w:t>
            </w:r>
            <w:r>
              <w:rPr>
                <w:rFonts w:hint="eastAsia" w:ascii="宋体" w:hAnsi="宋体" w:eastAsia="宋体" w:cs="宋体"/>
                <w:b/>
                <w:bCs/>
                <w:color w:val="000000"/>
                <w:spacing w:val="0"/>
                <w:w w:val="100"/>
                <w:position w:val="0"/>
                <w:sz w:val="18"/>
                <w:szCs w:val="18"/>
                <w:lang w:val="en-US" w:eastAsia="en-US" w:bidi="en-US"/>
              </w:rPr>
              <w:t>100%,</w:t>
            </w:r>
            <w:r>
              <w:rPr>
                <w:rFonts w:hint="eastAsia" w:ascii="宋体" w:hAnsi="宋体" w:eastAsia="宋体" w:cs="宋体"/>
                <w:color w:val="000000"/>
                <w:spacing w:val="0"/>
                <w:w w:val="100"/>
                <w:position w:val="0"/>
                <w:sz w:val="18"/>
                <w:szCs w:val="18"/>
              </w:rPr>
              <w:t>在职人员数： 部门（单位）实际在职人数，以财政部门确定的部门决算编制口径为准。</w:t>
            </w:r>
          </w:p>
          <w:p>
            <w:pPr>
              <w:pStyle w:val="6"/>
              <w:keepNext w:val="0"/>
              <w:keepLines w:val="0"/>
              <w:widowControl w:val="0"/>
              <w:shd w:val="clear" w:color="auto" w:fill="auto"/>
              <w:bidi w:val="0"/>
              <w:spacing w:before="0" w:after="0" w:line="313"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编制数：机构编制部门核定批复的部门（单位）的人员编制数。</w:t>
            </w:r>
          </w:p>
        </w:tc>
        <w:tc>
          <w:tcPr>
            <w:tcW w:w="732" w:type="dxa"/>
            <w:tcBorders>
              <w:top w:val="single" w:color="auto" w:sz="4" w:space="0"/>
              <w:left w:val="single" w:color="auto" w:sz="4" w:space="0"/>
              <w:right w:val="single" w:color="auto" w:sz="4" w:space="0"/>
            </w:tcBorders>
            <w:shd w:val="clear" w:color="auto" w:fill="FFFFFF"/>
            <w:noWrap w:val="0"/>
            <w:vAlign w:val="top"/>
          </w:tcPr>
          <w:p>
            <w:pPr>
              <w:widowControl w:val="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r>
      <w:tr>
        <w:tblPrEx>
          <w:tblCellMar>
            <w:top w:w="0" w:type="dxa"/>
            <w:left w:w="10" w:type="dxa"/>
            <w:bottom w:w="0" w:type="dxa"/>
            <w:right w:w="10" w:type="dxa"/>
          </w:tblCellMar>
        </w:tblPrEx>
        <w:trPr>
          <w:trHeight w:val="1551" w:hRule="exact"/>
          <w:jc w:val="center"/>
        </w:trPr>
        <w:tc>
          <w:tcPr>
            <w:tcW w:w="349"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543"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366"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666"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93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“三公经费,，变动率</w:t>
            </w:r>
          </w:p>
        </w:tc>
        <w:tc>
          <w:tcPr>
            <w:tcW w:w="39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8</w:t>
            </w:r>
          </w:p>
        </w:tc>
        <w:tc>
          <w:tcPr>
            <w:tcW w:w="270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8"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“三公经费”变动率</w:t>
            </w:r>
            <w:r>
              <w:rPr>
                <w:rFonts w:hint="eastAsia" w:ascii="宋体" w:hAnsi="宋体" w:eastAsia="宋体" w:cs="宋体"/>
                <w:b/>
                <w:bCs/>
                <w:color w:val="000000"/>
                <w:spacing w:val="0"/>
                <w:w w:val="100"/>
                <w:position w:val="0"/>
                <w:sz w:val="18"/>
                <w:szCs w:val="18"/>
                <w:lang w:val="en-US" w:eastAsia="en-US" w:bidi="en-US"/>
              </w:rPr>
              <w:t>≦0,</w:t>
            </w:r>
            <w:r>
              <w:rPr>
                <w:rFonts w:hint="eastAsia" w:ascii="宋体" w:hAnsi="宋体" w:eastAsia="宋体" w:cs="宋体"/>
                <w:color w:val="000000"/>
                <w:spacing w:val="0"/>
                <w:w w:val="100"/>
                <w:position w:val="0"/>
                <w:sz w:val="18"/>
                <w:szCs w:val="18"/>
              </w:rPr>
              <w:t>计</w:t>
            </w:r>
            <w:r>
              <w:rPr>
                <w:rFonts w:hint="eastAsia" w:ascii="宋体" w:hAnsi="宋体" w:eastAsia="宋体" w:cs="宋体"/>
                <w:b/>
                <w:bCs/>
                <w:color w:val="000000"/>
                <w:spacing w:val="0"/>
                <w:w w:val="100"/>
                <w:position w:val="0"/>
                <w:sz w:val="18"/>
                <w:szCs w:val="18"/>
              </w:rPr>
              <w:t xml:space="preserve">8 </w:t>
            </w:r>
            <w:r>
              <w:rPr>
                <w:rFonts w:hint="eastAsia" w:ascii="宋体" w:hAnsi="宋体" w:eastAsia="宋体" w:cs="宋体"/>
                <w:color w:val="000000"/>
                <w:spacing w:val="0"/>
                <w:w w:val="100"/>
                <w:position w:val="0"/>
                <w:sz w:val="18"/>
                <w:szCs w:val="18"/>
              </w:rPr>
              <w:t>分；“三公经费</w:t>
            </w:r>
            <w:r>
              <w:rPr>
                <w:rFonts w:hint="eastAsia" w:ascii="宋体" w:hAnsi="宋体" w:eastAsia="宋体" w:cs="宋体"/>
                <w:b/>
                <w:bCs/>
                <w:color w:val="000000"/>
                <w:spacing w:val="0"/>
                <w:w w:val="100"/>
                <w:position w:val="0"/>
                <w:sz w:val="18"/>
                <w:szCs w:val="18"/>
              </w:rPr>
              <w:t>”&gt;0,</w:t>
            </w:r>
            <w:r>
              <w:rPr>
                <w:rFonts w:hint="eastAsia" w:ascii="宋体" w:hAnsi="宋体" w:eastAsia="宋体" w:cs="宋体"/>
                <w:color w:val="000000"/>
                <w:spacing w:val="0"/>
                <w:w w:val="100"/>
                <w:position w:val="0"/>
                <w:sz w:val="18"/>
                <w:szCs w:val="18"/>
              </w:rPr>
              <w:t>每超过 一个百分点扣</w:t>
            </w:r>
            <w:r>
              <w:rPr>
                <w:rFonts w:hint="eastAsia" w:ascii="宋体" w:hAnsi="宋体" w:eastAsia="宋体" w:cs="宋体"/>
                <w:b/>
                <w:bCs/>
                <w:color w:val="000000"/>
                <w:spacing w:val="0"/>
                <w:w w:val="100"/>
                <w:position w:val="0"/>
                <w:sz w:val="18"/>
                <w:szCs w:val="18"/>
                <w:lang w:val="en-US" w:eastAsia="en-US" w:bidi="en-US"/>
              </w:rPr>
              <w:t>0.8</w:t>
            </w:r>
            <w:r>
              <w:rPr>
                <w:rFonts w:hint="eastAsia" w:ascii="宋体" w:hAnsi="宋体" w:eastAsia="宋体" w:cs="宋体"/>
                <w:color w:val="000000"/>
                <w:spacing w:val="0"/>
                <w:w w:val="100"/>
                <w:position w:val="0"/>
                <w:sz w:val="18"/>
                <w:szCs w:val="18"/>
              </w:rPr>
              <w:t>分，扣完为止。</w:t>
            </w:r>
          </w:p>
        </w:tc>
        <w:tc>
          <w:tcPr>
            <w:tcW w:w="317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9"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“在公经费”变动率=［（本年度“三 公经费”预算数-上年度“三公经 费"预算数）/上年度“三公经费” 预算数</w:t>
            </w:r>
            <w:r>
              <w:rPr>
                <w:rFonts w:hint="eastAsia" w:ascii="宋体" w:hAnsi="宋体" w:eastAsia="宋体" w:cs="宋体"/>
                <w:b/>
                <w:bCs/>
                <w:color w:val="000000"/>
                <w:spacing w:val="0"/>
                <w:w w:val="100"/>
                <w:position w:val="0"/>
                <w:sz w:val="18"/>
                <w:szCs w:val="18"/>
                <w:lang w:val="en-US" w:eastAsia="en-US" w:bidi="en-US"/>
              </w:rPr>
              <w:t>］</w:t>
            </w:r>
            <w:r>
              <w:rPr>
                <w:rFonts w:hint="eastAsia" w:ascii="宋体" w:hAnsi="宋体" w:eastAsia="宋体" w:cs="宋体"/>
                <w:color w:val="000000"/>
                <w:spacing w:val="0"/>
                <w:w w:val="100"/>
                <w:position w:val="0"/>
                <w:sz w:val="18"/>
                <w:szCs w:val="18"/>
              </w:rPr>
              <w:t>×</w:t>
            </w:r>
            <w:r>
              <w:rPr>
                <w:rFonts w:hint="eastAsia" w:ascii="宋体" w:hAnsi="宋体" w:eastAsia="宋体" w:cs="宋体"/>
                <w:b/>
                <w:bCs/>
                <w:color w:val="000000"/>
                <w:spacing w:val="0"/>
                <w:w w:val="100"/>
                <w:position w:val="0"/>
                <w:sz w:val="18"/>
                <w:szCs w:val="18"/>
                <w:lang w:val="en-US" w:eastAsia="en-US" w:bidi="en-US"/>
              </w:rPr>
              <w:t>100%</w:t>
            </w:r>
          </w:p>
        </w:tc>
        <w:tc>
          <w:tcPr>
            <w:tcW w:w="732" w:type="dxa"/>
            <w:tcBorders>
              <w:top w:val="single" w:color="auto" w:sz="4" w:space="0"/>
              <w:left w:val="single" w:color="auto" w:sz="4" w:space="0"/>
              <w:right w:val="single" w:color="auto" w:sz="4" w:space="0"/>
            </w:tcBorders>
            <w:shd w:val="clear" w:color="auto" w:fill="FFFFFF"/>
            <w:noWrap w:val="0"/>
            <w:vAlign w:val="top"/>
          </w:tcPr>
          <w:p>
            <w:pPr>
              <w:widowControl w:val="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r>
      <w:tr>
        <w:tblPrEx>
          <w:tblCellMar>
            <w:top w:w="0" w:type="dxa"/>
            <w:left w:w="10" w:type="dxa"/>
            <w:bottom w:w="0" w:type="dxa"/>
            <w:right w:w="10" w:type="dxa"/>
          </w:tblCellMar>
        </w:tblPrEx>
        <w:trPr>
          <w:trHeight w:val="1268" w:hRule="exact"/>
          <w:jc w:val="center"/>
        </w:trPr>
        <w:tc>
          <w:tcPr>
            <w:tcW w:w="349"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过 程</w:t>
            </w:r>
          </w:p>
        </w:tc>
        <w:tc>
          <w:tcPr>
            <w:tcW w:w="543"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61</w:t>
            </w:r>
          </w:p>
        </w:tc>
        <w:tc>
          <w:tcPr>
            <w:tcW w:w="366"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right="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预 算 执 行</w:t>
            </w:r>
          </w:p>
        </w:tc>
        <w:tc>
          <w:tcPr>
            <w:tcW w:w="666"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20</w:t>
            </w:r>
          </w:p>
        </w:tc>
        <w:tc>
          <w:tcPr>
            <w:tcW w:w="93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预算完成率</w:t>
            </w:r>
          </w:p>
        </w:tc>
        <w:tc>
          <w:tcPr>
            <w:tcW w:w="39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5</w:t>
            </w:r>
          </w:p>
        </w:tc>
        <w:tc>
          <w:tcPr>
            <w:tcW w:w="270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right="0" w:firstLine="0"/>
              <w:jc w:val="left"/>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100%</w:t>
            </w:r>
            <w:r>
              <w:rPr>
                <w:rFonts w:hint="eastAsia" w:ascii="宋体" w:hAnsi="宋体" w:eastAsia="宋体" w:cs="宋体"/>
                <w:color w:val="000000"/>
                <w:spacing w:val="0"/>
                <w:w w:val="100"/>
                <w:position w:val="0"/>
                <w:sz w:val="18"/>
                <w:szCs w:val="18"/>
              </w:rPr>
              <w:t>计满分，每低于</w:t>
            </w:r>
            <w:r>
              <w:rPr>
                <w:rFonts w:hint="eastAsia" w:ascii="宋体" w:hAnsi="宋体" w:eastAsia="宋体" w:cs="宋体"/>
                <w:b/>
                <w:bCs/>
                <w:color w:val="000000"/>
                <w:spacing w:val="0"/>
                <w:w w:val="100"/>
                <w:position w:val="0"/>
                <w:sz w:val="18"/>
                <w:szCs w:val="18"/>
              </w:rPr>
              <w:t>5%</w:t>
            </w:r>
            <w:r>
              <w:rPr>
                <w:rFonts w:hint="eastAsia" w:ascii="宋体" w:hAnsi="宋体" w:eastAsia="宋体" w:cs="宋体"/>
                <w:color w:val="000000"/>
                <w:spacing w:val="0"/>
                <w:w w:val="100"/>
                <w:position w:val="0"/>
                <w:sz w:val="18"/>
                <w:szCs w:val="18"/>
              </w:rPr>
              <w:t>扣</w:t>
            </w:r>
            <w:r>
              <w:rPr>
                <w:rFonts w:hint="eastAsia" w:ascii="宋体" w:hAnsi="宋体" w:eastAsia="宋体" w:cs="宋体"/>
                <w:b/>
                <w:bCs/>
                <w:color w:val="000000"/>
                <w:spacing w:val="0"/>
                <w:w w:val="100"/>
                <w:position w:val="0"/>
                <w:sz w:val="18"/>
                <w:szCs w:val="18"/>
              </w:rPr>
              <w:t>2</w:t>
            </w:r>
            <w:r>
              <w:rPr>
                <w:rFonts w:hint="eastAsia" w:ascii="宋体" w:hAnsi="宋体" w:eastAsia="宋体" w:cs="宋体"/>
                <w:color w:val="000000"/>
                <w:spacing w:val="0"/>
                <w:w w:val="100"/>
                <w:position w:val="0"/>
                <w:sz w:val="18"/>
                <w:szCs w:val="18"/>
              </w:rPr>
              <w:t>分，扣完为止。</w:t>
            </w:r>
          </w:p>
        </w:tc>
        <w:tc>
          <w:tcPr>
            <w:tcW w:w="317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7" w:lineRule="exact"/>
              <w:ind w:left="0" w:right="0" w:firstLine="0"/>
              <w:jc w:val="left"/>
              <w:rPr>
                <w:rFonts w:hint="eastAsia" w:ascii="宋体" w:hAnsi="宋体" w:eastAsia="宋体" w:cs="宋体"/>
                <w:sz w:val="18"/>
                <w:szCs w:val="18"/>
                <w:lang w:eastAsia="zh-CN"/>
              </w:rPr>
            </w:pPr>
            <w:r>
              <w:rPr>
                <w:rFonts w:hint="eastAsia" w:ascii="宋体" w:hAnsi="宋体" w:eastAsia="宋体" w:cs="宋体"/>
                <w:color w:val="000000"/>
                <w:spacing w:val="0"/>
                <w:w w:val="100"/>
                <w:position w:val="0"/>
                <w:sz w:val="18"/>
                <w:szCs w:val="18"/>
              </w:rPr>
              <w:t>预算完成率=（上年结转+年初预 算+本年追加预算一年末结余/上年结转+年初预算+本年追加预 算）×</w:t>
            </w:r>
            <w:r>
              <w:rPr>
                <w:rFonts w:hint="eastAsia" w:ascii="宋体" w:hAnsi="宋体" w:eastAsia="宋体" w:cs="宋体"/>
                <w:b/>
                <w:bCs/>
                <w:color w:val="000000"/>
                <w:spacing w:val="0"/>
                <w:w w:val="100"/>
                <w:position w:val="0"/>
                <w:sz w:val="18"/>
                <w:szCs w:val="18"/>
                <w:lang w:val="en-US" w:eastAsia="en-US" w:bidi="en-US"/>
              </w:rPr>
              <w:t>100%</w:t>
            </w:r>
            <w:r>
              <w:rPr>
                <w:rFonts w:hint="eastAsia" w:ascii="宋体" w:hAnsi="宋体" w:eastAsia="宋体" w:cs="宋体"/>
                <w:b/>
                <w:bCs/>
                <w:color w:val="000000"/>
                <w:spacing w:val="0"/>
                <w:w w:val="100"/>
                <w:position w:val="0"/>
                <w:sz w:val="18"/>
                <w:szCs w:val="18"/>
                <w:lang w:val="en-US" w:eastAsia="zh-CN" w:bidi="en-US"/>
              </w:rPr>
              <w:t>。</w:t>
            </w:r>
          </w:p>
        </w:tc>
        <w:tc>
          <w:tcPr>
            <w:tcW w:w="732" w:type="dxa"/>
            <w:tcBorders>
              <w:top w:val="single" w:color="auto" w:sz="4" w:space="0"/>
              <w:left w:val="single" w:color="auto" w:sz="4" w:space="0"/>
              <w:right w:val="single" w:color="auto" w:sz="4" w:space="0"/>
            </w:tcBorders>
            <w:shd w:val="clear" w:color="auto" w:fill="FFFFFF"/>
            <w:noWrap w:val="0"/>
            <w:vAlign w:val="top"/>
          </w:tcPr>
          <w:p>
            <w:pPr>
              <w:widowControl w:val="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r>
      <w:tr>
        <w:tblPrEx>
          <w:tblCellMar>
            <w:top w:w="0" w:type="dxa"/>
            <w:left w:w="10" w:type="dxa"/>
            <w:bottom w:w="0" w:type="dxa"/>
            <w:right w:w="10" w:type="dxa"/>
          </w:tblCellMar>
        </w:tblPrEx>
        <w:trPr>
          <w:trHeight w:val="1950" w:hRule="exact"/>
          <w:jc w:val="center"/>
        </w:trPr>
        <w:tc>
          <w:tcPr>
            <w:tcW w:w="349"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543"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366"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666"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93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预算控制率</w:t>
            </w:r>
          </w:p>
        </w:tc>
        <w:tc>
          <w:tcPr>
            <w:tcW w:w="39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5</w:t>
            </w:r>
          </w:p>
        </w:tc>
        <w:tc>
          <w:tcPr>
            <w:tcW w:w="270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right="0" w:firstLine="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预算控制率</w:t>
            </w:r>
            <w:r>
              <w:rPr>
                <w:rFonts w:hint="eastAsia" w:ascii="宋体" w:hAnsi="宋体" w:eastAsia="宋体" w:cs="宋体"/>
                <w:b/>
                <w:bCs/>
                <w:color w:val="000000"/>
                <w:spacing w:val="0"/>
                <w:w w:val="100"/>
                <w:position w:val="0"/>
                <w:sz w:val="18"/>
                <w:szCs w:val="18"/>
              </w:rPr>
              <w:t>=0,</w:t>
            </w:r>
            <w:r>
              <w:rPr>
                <w:rFonts w:hint="eastAsia" w:ascii="宋体" w:hAnsi="宋体" w:eastAsia="宋体" w:cs="宋体"/>
                <w:color w:val="000000"/>
                <w:spacing w:val="0"/>
                <w:w w:val="100"/>
                <w:position w:val="0"/>
                <w:sz w:val="18"/>
                <w:szCs w:val="18"/>
              </w:rPr>
              <w:t>计</w:t>
            </w:r>
            <w:r>
              <w:rPr>
                <w:rFonts w:hint="eastAsia" w:ascii="宋体" w:hAnsi="宋体" w:eastAsia="宋体" w:cs="宋体"/>
                <w:b/>
                <w:bCs/>
                <w:color w:val="000000"/>
                <w:spacing w:val="0"/>
                <w:w w:val="100"/>
                <w:position w:val="0"/>
                <w:sz w:val="18"/>
                <w:szCs w:val="18"/>
              </w:rPr>
              <w:t>5</w:t>
            </w:r>
            <w:r>
              <w:rPr>
                <w:rFonts w:hint="eastAsia" w:ascii="宋体" w:hAnsi="宋体" w:eastAsia="宋体" w:cs="宋体"/>
                <w:color w:val="000000"/>
                <w:spacing w:val="0"/>
                <w:w w:val="100"/>
                <w:position w:val="0"/>
                <w:sz w:val="18"/>
                <w:szCs w:val="18"/>
              </w:rPr>
              <w:t>分；</w:t>
            </w:r>
          </w:p>
          <w:p>
            <w:pPr>
              <w:pStyle w:val="6"/>
              <w:keepNext w:val="0"/>
              <w:keepLines w:val="0"/>
              <w:widowControl w:val="0"/>
              <w:shd w:val="clear" w:color="auto" w:fill="auto"/>
              <w:bidi w:val="0"/>
              <w:spacing w:before="0" w:after="0" w:line="312" w:lineRule="exact"/>
              <w:ind w:left="200" w:right="0" w:hanging="200"/>
              <w:jc w:val="both"/>
              <w:rPr>
                <w:rFonts w:hint="eastAsia" w:cs="宋体"/>
                <w:color w:val="000000"/>
                <w:spacing w:val="0"/>
                <w:w w:val="100"/>
                <w:position w:val="0"/>
                <w:sz w:val="18"/>
                <w:szCs w:val="18"/>
                <w:lang w:val="en-US" w:eastAsia="zh-CN"/>
              </w:rPr>
            </w:pPr>
            <w:r>
              <w:rPr>
                <w:rFonts w:hint="eastAsia" w:ascii="宋体" w:hAnsi="宋体" w:eastAsia="宋体" w:cs="宋体"/>
                <w:b/>
                <w:bCs/>
                <w:color w:val="000000"/>
                <w:spacing w:val="0"/>
                <w:w w:val="100"/>
                <w:position w:val="0"/>
                <w:sz w:val="18"/>
                <w:szCs w:val="18"/>
              </w:rPr>
              <w:t xml:space="preserve">0-10% </w:t>
            </w:r>
            <w:r>
              <w:rPr>
                <w:rFonts w:hint="eastAsia" w:ascii="宋体" w:hAnsi="宋体" w:eastAsia="宋体" w:cs="宋体"/>
                <w:color w:val="000000"/>
                <w:spacing w:val="0"/>
                <w:w w:val="100"/>
                <w:position w:val="0"/>
                <w:sz w:val="18"/>
                <w:szCs w:val="18"/>
              </w:rPr>
              <w:t xml:space="preserve">（含），计 </w:t>
            </w:r>
            <w:r>
              <w:rPr>
                <w:rFonts w:hint="eastAsia" w:ascii="宋体" w:hAnsi="宋体" w:eastAsia="宋体" w:cs="宋体"/>
                <w:b/>
                <w:bCs/>
                <w:color w:val="000000"/>
                <w:spacing w:val="0"/>
                <w:w w:val="100"/>
                <w:position w:val="0"/>
                <w:sz w:val="18"/>
                <w:szCs w:val="18"/>
              </w:rPr>
              <w:t xml:space="preserve">4 </w:t>
            </w:r>
            <w:r>
              <w:rPr>
                <w:rFonts w:hint="eastAsia" w:ascii="宋体" w:hAnsi="宋体" w:eastAsia="宋体" w:cs="宋体"/>
                <w:color w:val="000000"/>
                <w:spacing w:val="0"/>
                <w:w w:val="100"/>
                <w:position w:val="0"/>
                <w:sz w:val="18"/>
                <w:szCs w:val="18"/>
              </w:rPr>
              <w:t>分；</w:t>
            </w:r>
            <w:r>
              <w:rPr>
                <w:rFonts w:hint="eastAsia" w:cs="宋体"/>
                <w:color w:val="000000"/>
                <w:spacing w:val="0"/>
                <w:w w:val="100"/>
                <w:position w:val="0"/>
                <w:sz w:val="18"/>
                <w:szCs w:val="18"/>
                <w:lang w:val="en-US" w:eastAsia="zh-CN"/>
              </w:rPr>
              <w:t xml:space="preserve"> </w:t>
            </w:r>
          </w:p>
          <w:p>
            <w:pPr>
              <w:pStyle w:val="6"/>
              <w:keepNext w:val="0"/>
              <w:keepLines w:val="0"/>
              <w:widowControl w:val="0"/>
              <w:shd w:val="clear" w:color="auto" w:fill="auto"/>
              <w:bidi w:val="0"/>
              <w:spacing w:before="0" w:after="0" w:line="312" w:lineRule="exact"/>
              <w:ind w:left="200" w:right="0" w:hanging="200"/>
              <w:jc w:val="both"/>
              <w:rPr>
                <w:rFonts w:hint="eastAsia" w:cs="宋体"/>
                <w:b/>
                <w:bCs/>
                <w:color w:val="000000"/>
                <w:spacing w:val="0"/>
                <w:w w:val="100"/>
                <w:position w:val="0"/>
                <w:sz w:val="18"/>
                <w:szCs w:val="18"/>
                <w:lang w:val="en-US" w:eastAsia="zh-CN"/>
              </w:rPr>
            </w:pPr>
            <w:r>
              <w:rPr>
                <w:rFonts w:hint="eastAsia" w:ascii="宋体" w:hAnsi="宋体" w:eastAsia="宋体" w:cs="宋体"/>
                <w:b/>
                <w:bCs/>
                <w:color w:val="000000"/>
                <w:spacing w:val="0"/>
                <w:w w:val="100"/>
                <w:position w:val="0"/>
                <w:sz w:val="18"/>
                <w:szCs w:val="18"/>
              </w:rPr>
              <w:t xml:space="preserve">10-20% </w:t>
            </w:r>
            <w:r>
              <w:rPr>
                <w:rFonts w:hint="eastAsia" w:ascii="宋体" w:hAnsi="宋体" w:eastAsia="宋体" w:cs="宋体"/>
                <w:color w:val="000000"/>
                <w:spacing w:val="0"/>
                <w:w w:val="100"/>
                <w:position w:val="0"/>
                <w:sz w:val="18"/>
                <w:szCs w:val="18"/>
              </w:rPr>
              <w:t>（含），计</w:t>
            </w:r>
            <w:r>
              <w:rPr>
                <w:rFonts w:hint="eastAsia" w:ascii="宋体" w:hAnsi="宋体" w:eastAsia="宋体" w:cs="宋体"/>
                <w:b/>
                <w:bCs/>
                <w:color w:val="000000"/>
                <w:spacing w:val="0"/>
                <w:w w:val="100"/>
                <w:position w:val="0"/>
                <w:sz w:val="18"/>
                <w:szCs w:val="18"/>
              </w:rPr>
              <w:t xml:space="preserve">3 </w:t>
            </w:r>
            <w:r>
              <w:rPr>
                <w:rFonts w:hint="eastAsia" w:ascii="宋体" w:hAnsi="宋体" w:eastAsia="宋体" w:cs="宋体"/>
                <w:color w:val="000000"/>
                <w:spacing w:val="0"/>
                <w:w w:val="100"/>
                <w:position w:val="0"/>
                <w:sz w:val="18"/>
                <w:szCs w:val="18"/>
              </w:rPr>
              <w:t>分</w:t>
            </w:r>
            <w:r>
              <w:rPr>
                <w:rFonts w:hint="eastAsia" w:ascii="宋体" w:hAnsi="宋体" w:eastAsia="宋体" w:cs="宋体"/>
                <w:b/>
                <w:bCs/>
                <w:color w:val="000000"/>
                <w:spacing w:val="0"/>
                <w:w w:val="100"/>
                <w:position w:val="0"/>
                <w:sz w:val="18"/>
                <w:szCs w:val="18"/>
              </w:rPr>
              <w:t>；</w:t>
            </w:r>
            <w:r>
              <w:rPr>
                <w:rFonts w:hint="eastAsia" w:cs="宋体"/>
                <w:b/>
                <w:bCs/>
                <w:color w:val="000000"/>
                <w:spacing w:val="0"/>
                <w:w w:val="100"/>
                <w:position w:val="0"/>
                <w:sz w:val="18"/>
                <w:szCs w:val="18"/>
                <w:lang w:val="en-US" w:eastAsia="zh-CN"/>
              </w:rPr>
              <w:t xml:space="preserve"> </w:t>
            </w:r>
          </w:p>
          <w:p>
            <w:pPr>
              <w:pStyle w:val="6"/>
              <w:keepNext w:val="0"/>
              <w:keepLines w:val="0"/>
              <w:widowControl w:val="0"/>
              <w:shd w:val="clear" w:color="auto" w:fill="auto"/>
              <w:bidi w:val="0"/>
              <w:spacing w:before="0" w:after="0" w:line="312" w:lineRule="exact"/>
              <w:ind w:left="200" w:right="0" w:hanging="200"/>
              <w:jc w:val="both"/>
              <w:rPr>
                <w:rFonts w:hint="eastAsia" w:cs="宋体"/>
                <w:color w:val="000000"/>
                <w:spacing w:val="0"/>
                <w:w w:val="100"/>
                <w:position w:val="0"/>
                <w:sz w:val="18"/>
                <w:szCs w:val="18"/>
                <w:lang w:val="en-US" w:eastAsia="zh-CN"/>
              </w:rPr>
            </w:pPr>
            <w:r>
              <w:rPr>
                <w:rFonts w:hint="eastAsia" w:ascii="宋体" w:hAnsi="宋体" w:eastAsia="宋体" w:cs="宋体"/>
                <w:b/>
                <w:bCs/>
                <w:color w:val="000000"/>
                <w:spacing w:val="0"/>
                <w:w w:val="100"/>
                <w:position w:val="0"/>
                <w:sz w:val="18"/>
                <w:szCs w:val="18"/>
              </w:rPr>
              <w:t>20-30%（</w:t>
            </w:r>
            <w:r>
              <w:rPr>
                <w:rFonts w:hint="eastAsia" w:ascii="宋体" w:hAnsi="宋体" w:eastAsia="宋体" w:cs="宋体"/>
                <w:color w:val="000000"/>
                <w:spacing w:val="0"/>
                <w:w w:val="100"/>
                <w:position w:val="0"/>
                <w:sz w:val="18"/>
                <w:szCs w:val="18"/>
              </w:rPr>
              <w:t>含），计</w:t>
            </w:r>
            <w:r>
              <w:rPr>
                <w:rFonts w:hint="eastAsia" w:ascii="宋体" w:hAnsi="宋体" w:eastAsia="宋体" w:cs="宋体"/>
                <w:b/>
                <w:bCs/>
                <w:color w:val="000000"/>
                <w:spacing w:val="0"/>
                <w:w w:val="100"/>
                <w:position w:val="0"/>
                <w:sz w:val="18"/>
                <w:szCs w:val="18"/>
              </w:rPr>
              <w:t>2</w:t>
            </w:r>
            <w:r>
              <w:rPr>
                <w:rFonts w:hint="eastAsia" w:ascii="宋体" w:hAnsi="宋体" w:eastAsia="宋体" w:cs="宋体"/>
                <w:color w:val="000000"/>
                <w:spacing w:val="0"/>
                <w:w w:val="100"/>
                <w:position w:val="0"/>
                <w:sz w:val="18"/>
                <w:szCs w:val="18"/>
              </w:rPr>
              <w:t>分；</w:t>
            </w:r>
            <w:r>
              <w:rPr>
                <w:rFonts w:hint="eastAsia" w:cs="宋体"/>
                <w:color w:val="000000"/>
                <w:spacing w:val="0"/>
                <w:w w:val="100"/>
                <w:position w:val="0"/>
                <w:sz w:val="18"/>
                <w:szCs w:val="18"/>
                <w:lang w:val="en-US" w:eastAsia="zh-CN"/>
              </w:rPr>
              <w:t xml:space="preserve"> </w:t>
            </w:r>
          </w:p>
          <w:p>
            <w:pPr>
              <w:pStyle w:val="6"/>
              <w:keepNext w:val="0"/>
              <w:keepLines w:val="0"/>
              <w:widowControl w:val="0"/>
              <w:shd w:val="clear" w:color="auto" w:fill="auto"/>
              <w:bidi w:val="0"/>
              <w:spacing w:before="0" w:after="0" w:line="312" w:lineRule="exact"/>
              <w:ind w:left="200" w:right="0" w:hanging="20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大于</w:t>
            </w:r>
            <w:r>
              <w:rPr>
                <w:rFonts w:hint="eastAsia" w:ascii="宋体" w:hAnsi="宋体" w:eastAsia="宋体" w:cs="宋体"/>
                <w:b/>
                <w:bCs/>
                <w:color w:val="000000"/>
                <w:spacing w:val="0"/>
                <w:w w:val="100"/>
                <w:position w:val="0"/>
                <w:sz w:val="18"/>
                <w:szCs w:val="18"/>
              </w:rPr>
              <w:t>30%</w:t>
            </w:r>
            <w:r>
              <w:rPr>
                <w:rFonts w:hint="eastAsia" w:ascii="宋体" w:hAnsi="宋体" w:eastAsia="宋体" w:cs="宋体"/>
                <w:color w:val="000000"/>
                <w:spacing w:val="0"/>
                <w:w w:val="100"/>
                <w:position w:val="0"/>
                <w:sz w:val="18"/>
                <w:szCs w:val="18"/>
              </w:rPr>
              <w:t>不得分</w:t>
            </w:r>
          </w:p>
        </w:tc>
        <w:tc>
          <w:tcPr>
            <w:tcW w:w="317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7"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预算控制率=（本年追加预算/年 初预算）×</w:t>
            </w:r>
            <w:r>
              <w:rPr>
                <w:rFonts w:hint="eastAsia" w:ascii="宋体" w:hAnsi="宋体" w:eastAsia="宋体" w:cs="宋体"/>
                <w:b/>
                <w:bCs/>
                <w:color w:val="000000"/>
                <w:spacing w:val="0"/>
                <w:w w:val="100"/>
                <w:position w:val="0"/>
                <w:sz w:val="18"/>
                <w:szCs w:val="18"/>
                <w:lang w:val="en-US" w:eastAsia="en-US" w:bidi="en-US"/>
              </w:rPr>
              <w:t>100%</w:t>
            </w:r>
            <w:r>
              <w:rPr>
                <w:rFonts w:hint="eastAsia" w:ascii="宋体" w:hAnsi="宋体" w:eastAsia="宋体" w:cs="宋体"/>
                <w:b/>
                <w:bCs/>
                <w:color w:val="000000"/>
                <w:spacing w:val="0"/>
                <w:w w:val="100"/>
                <w:position w:val="0"/>
                <w:sz w:val="18"/>
                <w:szCs w:val="18"/>
                <w:lang w:val="en-US" w:eastAsia="zh-CN" w:bidi="en-US"/>
              </w:rPr>
              <w:t>。</w:t>
            </w:r>
          </w:p>
        </w:tc>
        <w:tc>
          <w:tcPr>
            <w:tcW w:w="732" w:type="dxa"/>
            <w:tcBorders>
              <w:top w:val="single" w:color="auto" w:sz="4" w:space="0"/>
              <w:left w:val="single" w:color="auto" w:sz="4" w:space="0"/>
              <w:right w:val="single" w:color="auto" w:sz="4" w:space="0"/>
            </w:tcBorders>
            <w:shd w:val="clear" w:color="auto" w:fill="FFFFFF"/>
            <w:noWrap w:val="0"/>
            <w:vAlign w:val="top"/>
          </w:tcPr>
          <w:p>
            <w:pPr>
              <w:widowControl w:val="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r>
      <w:tr>
        <w:tblPrEx>
          <w:tblCellMar>
            <w:top w:w="0" w:type="dxa"/>
            <w:left w:w="10" w:type="dxa"/>
            <w:bottom w:w="0" w:type="dxa"/>
            <w:right w:w="10" w:type="dxa"/>
          </w:tblCellMar>
        </w:tblPrEx>
        <w:trPr>
          <w:trHeight w:val="1702" w:hRule="exact"/>
          <w:jc w:val="center"/>
        </w:trPr>
        <w:tc>
          <w:tcPr>
            <w:tcW w:w="349"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543"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366"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666"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936"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新建楼堂馆所面积控 制率</w:t>
            </w:r>
          </w:p>
        </w:tc>
        <w:tc>
          <w:tcPr>
            <w:tcW w:w="398"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5</w:t>
            </w:r>
          </w:p>
        </w:tc>
        <w:tc>
          <w:tcPr>
            <w:tcW w:w="270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7" w:lineRule="exact"/>
              <w:ind w:left="0" w:right="0" w:firstLine="0"/>
              <w:jc w:val="left"/>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100%</w:t>
            </w:r>
            <w:r>
              <w:rPr>
                <w:rFonts w:hint="eastAsia" w:ascii="宋体" w:hAnsi="宋体" w:eastAsia="宋体" w:cs="宋体"/>
                <w:color w:val="000000"/>
                <w:spacing w:val="0"/>
                <w:w w:val="100"/>
                <w:position w:val="0"/>
                <w:sz w:val="18"/>
                <w:szCs w:val="18"/>
              </w:rPr>
              <w:t>以下（含）计满分，每超出</w:t>
            </w:r>
            <w:r>
              <w:rPr>
                <w:rFonts w:hint="eastAsia" w:ascii="宋体" w:hAnsi="宋体" w:eastAsia="宋体" w:cs="宋体"/>
                <w:b/>
                <w:bCs/>
                <w:color w:val="000000"/>
                <w:spacing w:val="0"/>
                <w:w w:val="100"/>
                <w:position w:val="0"/>
                <w:sz w:val="18"/>
                <w:szCs w:val="18"/>
              </w:rPr>
              <w:t>5%</w:t>
            </w:r>
            <w:r>
              <w:rPr>
                <w:rFonts w:hint="eastAsia" w:ascii="宋体" w:hAnsi="宋体" w:eastAsia="宋体" w:cs="宋体"/>
                <w:color w:val="000000"/>
                <w:spacing w:val="0"/>
                <w:w w:val="100"/>
                <w:position w:val="0"/>
                <w:sz w:val="18"/>
                <w:szCs w:val="18"/>
              </w:rPr>
              <w:t>扣</w:t>
            </w:r>
            <w:r>
              <w:rPr>
                <w:rFonts w:hint="eastAsia" w:ascii="宋体" w:hAnsi="宋体" w:eastAsia="宋体" w:cs="宋体"/>
                <w:b/>
                <w:bCs/>
                <w:color w:val="000000"/>
                <w:spacing w:val="0"/>
                <w:w w:val="100"/>
                <w:position w:val="0"/>
                <w:sz w:val="18"/>
                <w:szCs w:val="18"/>
              </w:rPr>
              <w:t>2</w:t>
            </w:r>
            <w:r>
              <w:rPr>
                <w:rFonts w:hint="eastAsia" w:ascii="宋体" w:hAnsi="宋体" w:eastAsia="宋体" w:cs="宋体"/>
                <w:color w:val="000000"/>
                <w:spacing w:val="0"/>
                <w:w w:val="100"/>
                <w:position w:val="0"/>
                <w:sz w:val="18"/>
                <w:szCs w:val="18"/>
              </w:rPr>
              <w:t>分，扣完为止。 没有楼堂馆所项目的部门按满分计算</w:t>
            </w:r>
          </w:p>
        </w:tc>
        <w:tc>
          <w:tcPr>
            <w:tcW w:w="3178"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4"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楼堂馆所面积控制率=实际建设面积/批准建设面积×</w:t>
            </w:r>
            <w:r>
              <w:rPr>
                <w:rFonts w:hint="eastAsia" w:ascii="宋体" w:hAnsi="宋体" w:eastAsia="宋体" w:cs="宋体"/>
                <w:b/>
                <w:bCs/>
                <w:color w:val="000000"/>
                <w:spacing w:val="0"/>
                <w:w w:val="100"/>
                <w:position w:val="0"/>
                <w:sz w:val="18"/>
                <w:szCs w:val="18"/>
                <w:lang w:val="en-US" w:eastAsia="en-US" w:bidi="en-US"/>
              </w:rPr>
              <w:t xml:space="preserve">100% </w:t>
            </w:r>
            <w:r>
              <w:rPr>
                <w:rFonts w:hint="eastAsia" w:ascii="宋体" w:hAnsi="宋体" w:eastAsia="宋体" w:cs="宋体"/>
                <w:b/>
                <w:bCs/>
                <w:color w:val="000000"/>
                <w:spacing w:val="0"/>
                <w:w w:val="100"/>
                <w:position w:val="0"/>
                <w:sz w:val="18"/>
                <w:szCs w:val="18"/>
              </w:rPr>
              <w:t xml:space="preserve">= </w:t>
            </w:r>
            <w:r>
              <w:rPr>
                <w:rFonts w:hint="eastAsia" w:ascii="宋体" w:hAnsi="宋体" w:eastAsia="宋体" w:cs="宋体"/>
                <w:color w:val="000000"/>
                <w:spacing w:val="0"/>
                <w:w w:val="100"/>
                <w:position w:val="0"/>
                <w:sz w:val="18"/>
                <w:szCs w:val="18"/>
              </w:rPr>
              <w:t>该指标以</w:t>
            </w:r>
            <w:r>
              <w:rPr>
                <w:rFonts w:hint="eastAsia" w:cs="宋体"/>
                <w:b/>
                <w:bCs/>
                <w:color w:val="000000"/>
                <w:spacing w:val="0"/>
                <w:w w:val="100"/>
                <w:position w:val="0"/>
                <w:sz w:val="18"/>
                <w:szCs w:val="18"/>
                <w:lang w:val="en-US" w:eastAsia="zh-CN"/>
              </w:rPr>
              <w:t>2021</w:t>
            </w:r>
            <w:r>
              <w:rPr>
                <w:rFonts w:hint="eastAsia" w:ascii="宋体" w:hAnsi="宋体" w:eastAsia="宋体" w:cs="宋体"/>
                <w:color w:val="000000"/>
                <w:spacing w:val="0"/>
                <w:w w:val="100"/>
                <w:position w:val="0"/>
                <w:sz w:val="18"/>
                <w:szCs w:val="18"/>
              </w:rPr>
              <w:t>年完工的新建楼堂馆所为评价内容。</w:t>
            </w:r>
          </w:p>
        </w:tc>
        <w:tc>
          <w:tcPr>
            <w:tcW w:w="73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r>
      <w:tr>
        <w:tblPrEx>
          <w:tblCellMar>
            <w:top w:w="0" w:type="dxa"/>
            <w:left w:w="10" w:type="dxa"/>
            <w:bottom w:w="0" w:type="dxa"/>
            <w:right w:w="10" w:type="dxa"/>
          </w:tblCellMar>
        </w:tblPrEx>
        <w:trPr>
          <w:trHeight w:val="2203" w:hRule="exact"/>
          <w:jc w:val="center"/>
        </w:trPr>
        <w:tc>
          <w:tcPr>
            <w:tcW w:w="349" w:type="dxa"/>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543" w:type="dxa"/>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366" w:type="dxa"/>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666" w:type="dxa"/>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936"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right="0" w:firstLine="0"/>
              <w:jc w:val="center"/>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新建楼堂馆所投资概算控制率</w:t>
            </w:r>
          </w:p>
        </w:tc>
        <w:tc>
          <w:tcPr>
            <w:tcW w:w="398"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right="0" w:firstLine="0"/>
              <w:jc w:val="center"/>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5</w:t>
            </w:r>
          </w:p>
        </w:tc>
        <w:tc>
          <w:tcPr>
            <w:tcW w:w="270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right="0" w:firstLine="0"/>
              <w:jc w:val="left"/>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100%以下（含）计满分，每超出5%扣2分，扣完为止。 没有楼堂馆所项目的部门按满分计算</w:t>
            </w:r>
          </w:p>
        </w:tc>
        <w:tc>
          <w:tcPr>
            <w:tcW w:w="3178"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right="0" w:firstLine="0"/>
              <w:jc w:val="left"/>
              <w:rPr>
                <w:rFonts w:hint="eastAsia" w:ascii="宋体" w:hAnsi="宋体" w:eastAsia="宋体" w:cs="宋体"/>
                <w:color w:val="000000"/>
                <w:spacing w:val="0"/>
                <w:w w:val="100"/>
                <w:position w:val="0"/>
                <w:sz w:val="18"/>
                <w:szCs w:val="18"/>
                <w:lang w:eastAsia="zh-CN"/>
              </w:rPr>
            </w:pPr>
            <w:r>
              <w:rPr>
                <w:rFonts w:hint="eastAsia" w:ascii="宋体" w:hAnsi="宋体" w:eastAsia="宋体" w:cs="宋体"/>
                <w:color w:val="000000"/>
                <w:spacing w:val="0"/>
                <w:w w:val="100"/>
                <w:position w:val="0"/>
                <w:sz w:val="18"/>
                <w:szCs w:val="18"/>
              </w:rPr>
              <w:t>楼堂馆所投资预算控制率=实际投资金额/批准投资金额 ×</w:t>
            </w:r>
            <w:r>
              <w:rPr>
                <w:rFonts w:hint="eastAsia" w:ascii="宋体" w:hAnsi="宋体" w:eastAsia="宋体" w:cs="宋体"/>
                <w:b/>
                <w:bCs/>
                <w:color w:val="000000"/>
                <w:spacing w:val="0"/>
                <w:w w:val="100"/>
                <w:position w:val="0"/>
                <w:sz w:val="18"/>
                <w:szCs w:val="18"/>
                <w:lang w:val="en-US" w:eastAsia="en-US" w:bidi="en-US"/>
              </w:rPr>
              <w:t>100%</w:t>
            </w:r>
            <w:r>
              <w:rPr>
                <w:rFonts w:hint="eastAsia" w:ascii="宋体" w:hAnsi="宋体" w:eastAsia="宋体" w:cs="宋体"/>
                <w:color w:val="000000"/>
                <w:spacing w:val="0"/>
                <w:w w:val="100"/>
                <w:position w:val="0"/>
                <w:sz w:val="18"/>
                <w:szCs w:val="18"/>
                <w:lang w:val="en-US" w:eastAsia="en-US"/>
              </w:rPr>
              <w:t xml:space="preserve"> </w:t>
            </w:r>
            <w:r>
              <w:rPr>
                <w:rFonts w:hint="eastAsia" w:ascii="宋体" w:hAnsi="宋体" w:eastAsia="宋体" w:cs="宋体"/>
                <w:color w:val="000000"/>
                <w:spacing w:val="0"/>
                <w:w w:val="100"/>
                <w:position w:val="0"/>
                <w:sz w:val="18"/>
                <w:szCs w:val="18"/>
                <w:lang w:val="en-US" w:eastAsia="zh-CN"/>
              </w:rPr>
              <w:t>。</w:t>
            </w:r>
          </w:p>
          <w:p>
            <w:pPr>
              <w:pStyle w:val="6"/>
              <w:keepNext w:val="0"/>
              <w:keepLines w:val="0"/>
              <w:widowControl w:val="0"/>
              <w:shd w:val="clear" w:color="auto" w:fill="auto"/>
              <w:bidi w:val="0"/>
              <w:spacing w:before="0" w:after="0" w:line="312" w:lineRule="exact"/>
              <w:ind w:left="0" w:right="0" w:firstLine="0"/>
              <w:jc w:val="left"/>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该指标以20</w:t>
            </w:r>
            <w:r>
              <w:rPr>
                <w:rFonts w:hint="eastAsia" w:cs="宋体"/>
                <w:color w:val="000000"/>
                <w:spacing w:val="0"/>
                <w:w w:val="100"/>
                <w:position w:val="0"/>
                <w:sz w:val="18"/>
                <w:szCs w:val="18"/>
                <w:lang w:val="en-US" w:eastAsia="zh-CN"/>
              </w:rPr>
              <w:t>21</w:t>
            </w:r>
            <w:r>
              <w:rPr>
                <w:rFonts w:hint="eastAsia" w:ascii="宋体" w:hAnsi="宋体" w:eastAsia="宋体" w:cs="宋体"/>
                <w:color w:val="000000"/>
                <w:spacing w:val="0"/>
                <w:w w:val="100"/>
                <w:position w:val="0"/>
                <w:sz w:val="18"/>
                <w:szCs w:val="18"/>
              </w:rPr>
              <w:t>年完工的新建楼堂馆所为评价内容。</w:t>
            </w:r>
          </w:p>
        </w:tc>
        <w:tc>
          <w:tcPr>
            <w:tcW w:w="73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r>
    </w:tbl>
    <w:p>
      <w:pPr>
        <w:spacing w:line="1" w:lineRule="exact"/>
        <w:jc w:val="center"/>
        <w:rPr>
          <w:rFonts w:hint="eastAsia" w:ascii="宋体" w:hAnsi="宋体" w:eastAsia="宋体" w:cs="宋体"/>
          <w:sz w:val="18"/>
          <w:szCs w:val="18"/>
        </w:rPr>
      </w:pPr>
      <w:r>
        <w:rPr>
          <w:rFonts w:hint="eastAsia" w:ascii="宋体" w:hAnsi="宋体" w:eastAsia="宋体" w:cs="宋体"/>
          <w:sz w:val="18"/>
          <w:szCs w:val="18"/>
        </w:rPr>
        <w:br w:type="page"/>
      </w:r>
    </w:p>
    <w:tbl>
      <w:tblPr>
        <w:tblStyle w:val="3"/>
        <w:tblW w:w="9771" w:type="dxa"/>
        <w:jc w:val="center"/>
        <w:tblLayout w:type="fixed"/>
        <w:tblCellMar>
          <w:top w:w="0" w:type="dxa"/>
          <w:left w:w="10" w:type="dxa"/>
          <w:bottom w:w="0" w:type="dxa"/>
          <w:right w:w="10" w:type="dxa"/>
        </w:tblCellMar>
      </w:tblPr>
      <w:tblGrid>
        <w:gridCol w:w="368"/>
        <w:gridCol w:w="524"/>
        <w:gridCol w:w="460"/>
        <w:gridCol w:w="572"/>
        <w:gridCol w:w="916"/>
        <w:gridCol w:w="418"/>
        <w:gridCol w:w="2943"/>
        <w:gridCol w:w="2811"/>
        <w:gridCol w:w="759"/>
      </w:tblGrid>
      <w:tr>
        <w:tblPrEx>
          <w:tblCellMar>
            <w:top w:w="0" w:type="dxa"/>
            <w:left w:w="10" w:type="dxa"/>
            <w:bottom w:w="0" w:type="dxa"/>
            <w:right w:w="10" w:type="dxa"/>
          </w:tblCellMar>
        </w:tblPrEx>
        <w:trPr>
          <w:trHeight w:val="1302" w:hRule="exact"/>
          <w:jc w:val="center"/>
        </w:trPr>
        <w:tc>
          <w:tcPr>
            <w:tcW w:w="368" w:type="dxa"/>
            <w:tcBorders>
              <w:top w:val="single" w:color="auto" w:sz="4" w:space="0"/>
              <w:left w:val="single" w:color="auto" w:sz="4" w:space="0"/>
            </w:tcBorders>
            <w:shd w:val="clear" w:color="auto" w:fill="FFFFFF"/>
            <w:noWrap w:val="0"/>
            <w:vAlign w:val="bottom"/>
          </w:tcPr>
          <w:p>
            <w:pPr>
              <w:pStyle w:val="6"/>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eastAsia="zh-CN"/>
              </w:rPr>
              <w:t>一</w:t>
            </w:r>
            <w:r>
              <w:rPr>
                <w:rFonts w:hint="eastAsia" w:ascii="宋体" w:hAnsi="宋体" w:eastAsia="宋体" w:cs="宋体"/>
                <w:color w:val="000000"/>
                <w:spacing w:val="0"/>
                <w:w w:val="100"/>
                <w:position w:val="0"/>
                <w:sz w:val="18"/>
                <w:szCs w:val="18"/>
              </w:rPr>
              <w:t>级 指 标</w:t>
            </w:r>
          </w:p>
        </w:tc>
        <w:tc>
          <w:tcPr>
            <w:tcW w:w="52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460" w:type="dxa"/>
            <w:tcBorders>
              <w:top w:val="single" w:color="auto" w:sz="4" w:space="0"/>
              <w:left w:val="single" w:color="auto" w:sz="4" w:space="0"/>
            </w:tcBorders>
            <w:shd w:val="clear" w:color="auto" w:fill="FFFFFF"/>
            <w:noWrap w:val="0"/>
            <w:vAlign w:val="bottom"/>
          </w:tcPr>
          <w:p>
            <w:pPr>
              <w:pStyle w:val="6"/>
              <w:keepNext w:val="0"/>
              <w:keepLines w:val="0"/>
              <w:widowControl w:val="0"/>
              <w:shd w:val="clear" w:color="auto" w:fill="auto"/>
              <w:bidi w:val="0"/>
              <w:spacing w:before="0" w:after="0" w:line="312" w:lineRule="exact"/>
              <w:ind w:right="0" w:rightChars="0"/>
              <w:jc w:val="center"/>
              <w:rPr>
                <w:rFonts w:hint="eastAsia" w:ascii="宋体" w:hAnsi="宋体" w:eastAsia="宋体" w:cs="宋体"/>
                <w:color w:val="000000"/>
                <w:spacing w:val="0"/>
                <w:w w:val="100"/>
                <w:position w:val="0"/>
                <w:sz w:val="18"/>
                <w:szCs w:val="18"/>
                <w:lang w:eastAsia="zh-CN"/>
              </w:rPr>
            </w:pPr>
            <w:r>
              <w:rPr>
                <w:rFonts w:hint="eastAsia" w:ascii="宋体" w:hAnsi="宋体" w:eastAsia="宋体" w:cs="宋体"/>
                <w:color w:val="000000"/>
                <w:spacing w:val="0"/>
                <w:w w:val="100"/>
                <w:position w:val="0"/>
                <w:sz w:val="18"/>
                <w:szCs w:val="18"/>
                <w:lang w:eastAsia="zh-CN"/>
              </w:rPr>
              <w:t>二</w:t>
            </w:r>
          </w:p>
          <w:p>
            <w:pPr>
              <w:pStyle w:val="6"/>
              <w:keepNext w:val="0"/>
              <w:keepLines w:val="0"/>
              <w:widowControl w:val="0"/>
              <w:shd w:val="clear" w:color="auto" w:fill="auto"/>
              <w:bidi w:val="0"/>
              <w:spacing w:before="0" w:after="0" w:line="312" w:lineRule="exact"/>
              <w:ind w:right="0" w:right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级 指 标</w:t>
            </w:r>
          </w:p>
        </w:tc>
        <w:tc>
          <w:tcPr>
            <w:tcW w:w="572"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91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7"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三级指标</w:t>
            </w:r>
          </w:p>
        </w:tc>
        <w:tc>
          <w:tcPr>
            <w:tcW w:w="41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2943"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评价标准</w:t>
            </w:r>
          </w:p>
        </w:tc>
        <w:tc>
          <w:tcPr>
            <w:tcW w:w="2811"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指标说明</w:t>
            </w:r>
          </w:p>
        </w:tc>
        <w:tc>
          <w:tcPr>
            <w:tcW w:w="759"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7"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得 分</w:t>
            </w:r>
          </w:p>
        </w:tc>
      </w:tr>
      <w:tr>
        <w:tblPrEx>
          <w:tblCellMar>
            <w:top w:w="0" w:type="dxa"/>
            <w:left w:w="10" w:type="dxa"/>
            <w:bottom w:w="0" w:type="dxa"/>
            <w:right w:w="10" w:type="dxa"/>
          </w:tblCellMar>
        </w:tblPrEx>
        <w:trPr>
          <w:trHeight w:val="1695" w:hRule="exact"/>
          <w:jc w:val="center"/>
        </w:trPr>
        <w:tc>
          <w:tcPr>
            <w:tcW w:w="368"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过 程</w:t>
            </w:r>
          </w:p>
        </w:tc>
        <w:tc>
          <w:tcPr>
            <w:tcW w:w="524"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61</w:t>
            </w:r>
          </w:p>
        </w:tc>
        <w:tc>
          <w:tcPr>
            <w:tcW w:w="460"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6" w:lineRule="exact"/>
              <w:ind w:left="200" w:right="0" w:firstLine="0"/>
              <w:jc w:val="both"/>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预</w:t>
            </w:r>
          </w:p>
          <w:p>
            <w:pPr>
              <w:pStyle w:val="6"/>
              <w:keepNext w:val="0"/>
              <w:keepLines w:val="0"/>
              <w:widowControl w:val="0"/>
              <w:shd w:val="clear" w:color="auto" w:fill="auto"/>
              <w:bidi w:val="0"/>
              <w:spacing w:before="0" w:after="0" w:line="306" w:lineRule="exact"/>
              <w:ind w:left="200" w:right="0" w:firstLine="0"/>
              <w:jc w:val="both"/>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 xml:space="preserve"> 算</w:t>
            </w:r>
          </w:p>
          <w:p>
            <w:pPr>
              <w:pStyle w:val="6"/>
              <w:keepNext w:val="0"/>
              <w:keepLines w:val="0"/>
              <w:widowControl w:val="0"/>
              <w:shd w:val="clear" w:color="auto" w:fill="auto"/>
              <w:bidi w:val="0"/>
              <w:spacing w:before="0" w:after="0" w:line="306" w:lineRule="exact"/>
              <w:ind w:left="200" w:right="0" w:firstLine="0"/>
              <w:jc w:val="both"/>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 xml:space="preserve"> 管</w:t>
            </w:r>
          </w:p>
          <w:p>
            <w:pPr>
              <w:pStyle w:val="6"/>
              <w:keepNext w:val="0"/>
              <w:keepLines w:val="0"/>
              <w:widowControl w:val="0"/>
              <w:shd w:val="clear" w:color="auto" w:fill="auto"/>
              <w:bidi w:val="0"/>
              <w:spacing w:before="0" w:after="0" w:line="306" w:lineRule="exact"/>
              <w:ind w:left="200" w:right="0" w:firstLine="0"/>
              <w:jc w:val="both"/>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 xml:space="preserve"> 理</w:t>
            </w:r>
          </w:p>
          <w:p>
            <w:pPr>
              <w:pStyle w:val="6"/>
              <w:keepNext w:val="0"/>
              <w:keepLines w:val="0"/>
              <w:widowControl w:val="0"/>
              <w:shd w:val="clear" w:color="auto" w:fill="auto"/>
              <w:bidi w:val="0"/>
              <w:spacing w:before="0" w:after="0" w:line="306" w:lineRule="exact"/>
              <w:ind w:left="200" w:right="0" w:firstLine="0"/>
              <w:jc w:val="both"/>
              <w:rPr>
                <w:rFonts w:hint="eastAsia" w:ascii="宋体" w:hAnsi="宋体" w:eastAsia="宋体" w:cs="宋体"/>
                <w:color w:val="000000"/>
                <w:spacing w:val="0"/>
                <w:w w:val="100"/>
                <w:position w:val="0"/>
                <w:sz w:val="18"/>
                <w:szCs w:val="18"/>
              </w:rPr>
            </w:pPr>
          </w:p>
          <w:p>
            <w:pPr>
              <w:pStyle w:val="6"/>
              <w:keepNext w:val="0"/>
              <w:keepLines w:val="0"/>
              <w:widowControl w:val="0"/>
              <w:shd w:val="clear" w:color="auto" w:fill="auto"/>
              <w:bidi w:val="0"/>
              <w:spacing w:before="0" w:after="0" w:line="306" w:lineRule="exact"/>
              <w:ind w:left="0" w:right="280" w:firstLine="180" w:firstLineChars="100"/>
              <w:jc w:val="both"/>
              <w:rPr>
                <w:rFonts w:hint="eastAsia" w:ascii="宋体" w:hAnsi="宋体" w:eastAsia="宋体" w:cs="宋体"/>
                <w:sz w:val="18"/>
                <w:szCs w:val="18"/>
              </w:rPr>
            </w:pPr>
          </w:p>
        </w:tc>
        <w:tc>
          <w:tcPr>
            <w:tcW w:w="572"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41</w:t>
            </w:r>
          </w:p>
        </w:tc>
        <w:tc>
          <w:tcPr>
            <w:tcW w:w="91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公用经费控制率</w:t>
            </w:r>
          </w:p>
        </w:tc>
        <w:tc>
          <w:tcPr>
            <w:tcW w:w="41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8</w:t>
            </w:r>
          </w:p>
        </w:tc>
        <w:tc>
          <w:tcPr>
            <w:tcW w:w="2943"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7" w:lineRule="exact"/>
              <w:ind w:left="0" w:right="0" w:firstLine="0"/>
              <w:jc w:val="left"/>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100%</w:t>
            </w:r>
            <w:r>
              <w:rPr>
                <w:rFonts w:hint="eastAsia" w:ascii="宋体" w:hAnsi="宋体" w:eastAsia="宋体" w:cs="宋体"/>
                <w:color w:val="000000"/>
                <w:spacing w:val="0"/>
                <w:w w:val="100"/>
                <w:position w:val="0"/>
                <w:sz w:val="18"/>
                <w:szCs w:val="18"/>
              </w:rPr>
              <w:t>以下（含）计满分，每超出</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扣</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分，扣完为止。</w:t>
            </w:r>
          </w:p>
        </w:tc>
        <w:tc>
          <w:tcPr>
            <w:tcW w:w="2811" w:type="dxa"/>
            <w:tcBorders>
              <w:top w:val="single" w:color="auto" w:sz="4" w:space="0"/>
              <w:left w:val="single" w:color="auto" w:sz="4" w:space="0"/>
            </w:tcBorders>
            <w:shd w:val="clear" w:color="auto" w:fill="FFFFFF"/>
            <w:noWrap w:val="0"/>
            <w:vAlign w:val="top"/>
          </w:tcPr>
          <w:p>
            <w:pPr>
              <w:pStyle w:val="6"/>
              <w:keepNext w:val="0"/>
              <w:keepLines w:val="0"/>
              <w:widowControl w:val="0"/>
              <w:shd w:val="clear" w:color="auto" w:fill="auto"/>
              <w:bidi w:val="0"/>
              <w:spacing w:before="0" w:after="0" w:line="310" w:lineRule="exact"/>
              <w:ind w:left="0" w:right="0" w:firstLine="0"/>
              <w:jc w:val="left"/>
              <w:rPr>
                <w:rFonts w:hint="eastAsia" w:ascii="宋体" w:hAnsi="宋体" w:eastAsia="宋体" w:cs="宋体"/>
                <w:sz w:val="18"/>
                <w:szCs w:val="18"/>
                <w:lang w:eastAsia="zh-CN"/>
              </w:rPr>
            </w:pPr>
            <w:r>
              <w:rPr>
                <w:rFonts w:hint="eastAsia" w:ascii="宋体" w:hAnsi="宋体" w:eastAsia="宋体" w:cs="宋体"/>
                <w:color w:val="000000"/>
                <w:spacing w:val="0"/>
                <w:w w:val="100"/>
                <w:position w:val="0"/>
                <w:sz w:val="18"/>
                <w:szCs w:val="18"/>
              </w:rPr>
              <w:t>公用经费控制率=（实际支出公 用经费总额/预算安排公用经费 总额）×</w:t>
            </w:r>
            <w:r>
              <w:rPr>
                <w:rFonts w:hint="eastAsia" w:ascii="宋体" w:hAnsi="宋体" w:eastAsia="宋体" w:cs="宋体"/>
                <w:b/>
                <w:bCs/>
                <w:color w:val="000000"/>
                <w:spacing w:val="0"/>
                <w:w w:val="100"/>
                <w:position w:val="0"/>
                <w:sz w:val="18"/>
                <w:szCs w:val="18"/>
                <w:lang w:val="en-US" w:eastAsia="en-US" w:bidi="en-US"/>
              </w:rPr>
              <w:t xml:space="preserve">100% </w:t>
            </w:r>
            <w:r>
              <w:rPr>
                <w:rFonts w:hint="eastAsia" w:cs="宋体"/>
                <w:b/>
                <w:bCs/>
                <w:color w:val="000000"/>
                <w:spacing w:val="0"/>
                <w:w w:val="100"/>
                <w:position w:val="0"/>
                <w:sz w:val="18"/>
                <w:szCs w:val="18"/>
                <w:lang w:val="en-US" w:eastAsia="zh-CN" w:bidi="en-US"/>
              </w:rPr>
              <w:t>，</w:t>
            </w:r>
          </w:p>
          <w:p>
            <w:pPr>
              <w:pStyle w:val="6"/>
              <w:keepNext w:val="0"/>
              <w:keepLines w:val="0"/>
              <w:widowControl w:val="0"/>
              <w:shd w:val="clear" w:color="auto" w:fill="auto"/>
              <w:bidi w:val="0"/>
              <w:spacing w:before="0" w:after="0" w:line="310"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公用经费支出是指部门基本支出 中的一般商品和服务支出。</w:t>
            </w:r>
          </w:p>
        </w:tc>
        <w:tc>
          <w:tcPr>
            <w:tcW w:w="759" w:type="dxa"/>
            <w:tcBorders>
              <w:top w:val="single" w:color="auto" w:sz="4" w:space="0"/>
              <w:left w:val="single" w:color="auto" w:sz="4" w:space="0"/>
              <w:right w:val="single" w:color="auto" w:sz="4" w:space="0"/>
            </w:tcBorders>
            <w:shd w:val="clear" w:color="auto" w:fill="FFFFFF"/>
            <w:noWrap w:val="0"/>
            <w:vAlign w:val="top"/>
          </w:tcPr>
          <w:p>
            <w:pPr>
              <w:widowControl w:val="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r>
      <w:tr>
        <w:tblPrEx>
          <w:tblCellMar>
            <w:top w:w="0" w:type="dxa"/>
            <w:left w:w="10" w:type="dxa"/>
            <w:bottom w:w="0" w:type="dxa"/>
            <w:right w:w="10" w:type="dxa"/>
          </w:tblCellMar>
        </w:tblPrEx>
        <w:trPr>
          <w:trHeight w:val="1243" w:hRule="exact"/>
          <w:jc w:val="center"/>
        </w:trPr>
        <w:tc>
          <w:tcPr>
            <w:tcW w:w="368"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524"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460" w:type="dxa"/>
            <w:vMerge w:val="continue"/>
            <w:tcBorders>
              <w:left w:val="single" w:color="auto" w:sz="4" w:space="0"/>
            </w:tcBorders>
            <w:shd w:val="clear" w:color="auto" w:fill="FFFFFF"/>
            <w:noWrap w:val="0"/>
            <w:vAlign w:val="center"/>
          </w:tcPr>
          <w:p>
            <w:pPr>
              <w:jc w:val="both"/>
              <w:rPr>
                <w:rFonts w:hint="eastAsia" w:ascii="宋体" w:hAnsi="宋体" w:eastAsia="宋体" w:cs="宋体"/>
                <w:sz w:val="18"/>
                <w:szCs w:val="18"/>
              </w:rPr>
            </w:pPr>
          </w:p>
        </w:tc>
        <w:tc>
          <w:tcPr>
            <w:tcW w:w="572"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91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“三公 经费” 控制率</w:t>
            </w:r>
          </w:p>
        </w:tc>
        <w:tc>
          <w:tcPr>
            <w:tcW w:w="41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8</w:t>
            </w:r>
          </w:p>
        </w:tc>
        <w:tc>
          <w:tcPr>
            <w:tcW w:w="2943"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7" w:lineRule="exact"/>
              <w:ind w:left="0" w:right="0" w:firstLine="0"/>
              <w:jc w:val="left"/>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100%</w:t>
            </w:r>
            <w:r>
              <w:rPr>
                <w:rFonts w:hint="eastAsia" w:ascii="宋体" w:hAnsi="宋体" w:eastAsia="宋体" w:cs="宋体"/>
                <w:color w:val="000000"/>
                <w:spacing w:val="0"/>
                <w:w w:val="100"/>
                <w:position w:val="0"/>
                <w:sz w:val="18"/>
                <w:szCs w:val="18"/>
              </w:rPr>
              <w:t>以下（含）计满分，每超出</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扣</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分，扣完为止。</w:t>
            </w:r>
          </w:p>
        </w:tc>
        <w:tc>
          <w:tcPr>
            <w:tcW w:w="2811"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0" w:lineRule="exact"/>
              <w:ind w:left="0" w:right="0" w:firstLine="0"/>
              <w:jc w:val="left"/>
              <w:rPr>
                <w:rFonts w:hint="eastAsia" w:ascii="宋体" w:hAnsi="宋体" w:eastAsia="宋体" w:cs="宋体"/>
                <w:sz w:val="18"/>
                <w:szCs w:val="18"/>
                <w:lang w:eastAsia="zh-CN"/>
              </w:rPr>
            </w:pPr>
            <w:r>
              <w:rPr>
                <w:rFonts w:hint="eastAsia" w:ascii="宋体" w:hAnsi="宋体" w:eastAsia="宋体" w:cs="宋体"/>
                <w:color w:val="000000"/>
                <w:spacing w:val="0"/>
                <w:w w:val="100"/>
                <w:position w:val="0"/>
                <w:sz w:val="18"/>
                <w:szCs w:val="18"/>
              </w:rPr>
              <w:t>“三公经费”控制率</w:t>
            </w:r>
            <w:r>
              <w:rPr>
                <w:rFonts w:hint="eastAsia" w:ascii="宋体" w:hAnsi="宋体" w:eastAsia="宋体" w:cs="宋体"/>
                <w:color w:val="000000"/>
                <w:spacing w:val="0"/>
                <w:w w:val="100"/>
                <w:position w:val="0"/>
                <w:sz w:val="18"/>
                <w:szCs w:val="18"/>
                <w:lang w:val="en-US" w:eastAsia="zh-CN"/>
              </w:rPr>
              <w:t>.</w:t>
            </w:r>
            <w:r>
              <w:rPr>
                <w:rFonts w:hint="eastAsia" w:ascii="宋体" w:hAnsi="宋体" w:eastAsia="宋体" w:cs="宋体"/>
                <w:color w:val="000000"/>
                <w:spacing w:val="0"/>
                <w:w w:val="100"/>
                <w:position w:val="0"/>
                <w:sz w:val="18"/>
                <w:szCs w:val="18"/>
              </w:rPr>
              <w:t>（“三公经费” 实际支出数/“三公经费”预算安 排数）×</w:t>
            </w:r>
            <w:r>
              <w:rPr>
                <w:rFonts w:hint="eastAsia" w:ascii="宋体" w:hAnsi="宋体" w:eastAsia="宋体" w:cs="宋体"/>
                <w:b/>
                <w:bCs/>
                <w:color w:val="000000"/>
                <w:spacing w:val="0"/>
                <w:w w:val="100"/>
                <w:position w:val="0"/>
                <w:sz w:val="18"/>
                <w:szCs w:val="18"/>
                <w:lang w:val="en-US" w:eastAsia="en-US" w:bidi="en-US"/>
              </w:rPr>
              <w:t xml:space="preserve">100% </w:t>
            </w:r>
          </w:p>
        </w:tc>
        <w:tc>
          <w:tcPr>
            <w:tcW w:w="759" w:type="dxa"/>
            <w:tcBorders>
              <w:top w:val="single" w:color="auto" w:sz="4" w:space="0"/>
              <w:left w:val="single" w:color="auto" w:sz="4" w:space="0"/>
              <w:right w:val="single" w:color="auto" w:sz="4" w:space="0"/>
            </w:tcBorders>
            <w:shd w:val="clear" w:color="auto" w:fill="FFFFFF"/>
            <w:noWrap w:val="0"/>
            <w:vAlign w:val="top"/>
          </w:tcPr>
          <w:p>
            <w:pPr>
              <w:widowControl w:val="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r>
      <w:tr>
        <w:tblPrEx>
          <w:tblCellMar>
            <w:top w:w="0" w:type="dxa"/>
            <w:left w:w="10" w:type="dxa"/>
            <w:bottom w:w="0" w:type="dxa"/>
            <w:right w:w="10" w:type="dxa"/>
          </w:tblCellMar>
        </w:tblPrEx>
        <w:trPr>
          <w:trHeight w:val="1030" w:hRule="exact"/>
          <w:jc w:val="center"/>
        </w:trPr>
        <w:tc>
          <w:tcPr>
            <w:tcW w:w="368"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524"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460" w:type="dxa"/>
            <w:vMerge w:val="continue"/>
            <w:tcBorders>
              <w:left w:val="single" w:color="auto" w:sz="4" w:space="0"/>
            </w:tcBorders>
            <w:shd w:val="clear" w:color="auto" w:fill="FFFFFF"/>
            <w:noWrap w:val="0"/>
            <w:vAlign w:val="center"/>
          </w:tcPr>
          <w:p>
            <w:pPr>
              <w:jc w:val="both"/>
              <w:rPr>
                <w:rFonts w:hint="eastAsia" w:ascii="宋体" w:hAnsi="宋体" w:eastAsia="宋体" w:cs="宋体"/>
                <w:sz w:val="18"/>
                <w:szCs w:val="18"/>
              </w:rPr>
            </w:pPr>
          </w:p>
        </w:tc>
        <w:tc>
          <w:tcPr>
            <w:tcW w:w="572"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916" w:type="dxa"/>
            <w:tcBorders>
              <w:top w:val="single" w:color="auto" w:sz="4" w:space="0"/>
              <w:left w:val="single" w:color="auto" w:sz="4" w:space="0"/>
            </w:tcBorders>
            <w:shd w:val="clear" w:color="auto" w:fill="FFFFFF"/>
            <w:noWrap w:val="0"/>
            <w:vAlign w:val="bottom"/>
          </w:tcPr>
          <w:p>
            <w:pPr>
              <w:pStyle w:val="6"/>
              <w:keepNext w:val="0"/>
              <w:keepLines w:val="0"/>
              <w:widowControl w:val="0"/>
              <w:shd w:val="clear" w:color="auto" w:fill="auto"/>
              <w:bidi w:val="0"/>
              <w:spacing w:before="0" w:after="0" w:line="314"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政府采购执行率</w:t>
            </w:r>
          </w:p>
        </w:tc>
        <w:tc>
          <w:tcPr>
            <w:tcW w:w="41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6</w:t>
            </w:r>
          </w:p>
        </w:tc>
        <w:tc>
          <w:tcPr>
            <w:tcW w:w="2943"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7" w:lineRule="exact"/>
              <w:ind w:left="0" w:right="0" w:firstLine="0"/>
              <w:jc w:val="left"/>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100%</w:t>
            </w:r>
            <w:r>
              <w:rPr>
                <w:rFonts w:hint="eastAsia" w:ascii="宋体" w:hAnsi="宋体" w:eastAsia="宋体" w:cs="宋体"/>
                <w:color w:val="000000"/>
                <w:spacing w:val="0"/>
                <w:w w:val="100"/>
                <w:position w:val="0"/>
                <w:sz w:val="18"/>
                <w:szCs w:val="18"/>
              </w:rPr>
              <w:t>计满分，每超过（降低）</w:t>
            </w:r>
            <w:r>
              <w:rPr>
                <w:rFonts w:hint="eastAsia" w:ascii="宋体" w:hAnsi="宋体" w:eastAsia="宋体" w:cs="宋体"/>
                <w:b/>
                <w:bCs/>
                <w:color w:val="000000"/>
                <w:spacing w:val="0"/>
                <w:w w:val="100"/>
                <w:position w:val="0"/>
                <w:sz w:val="18"/>
                <w:szCs w:val="18"/>
              </w:rPr>
              <w:t>5%</w:t>
            </w:r>
            <w:r>
              <w:rPr>
                <w:rFonts w:hint="eastAsia" w:ascii="宋体" w:hAnsi="宋体" w:eastAsia="宋体" w:cs="宋体"/>
                <w:color w:val="000000"/>
                <w:spacing w:val="0"/>
                <w:w w:val="100"/>
                <w:position w:val="0"/>
                <w:sz w:val="18"/>
                <w:szCs w:val="18"/>
              </w:rPr>
              <w:t>扣</w:t>
            </w:r>
            <w:r>
              <w:rPr>
                <w:rFonts w:hint="eastAsia" w:ascii="宋体" w:hAnsi="宋体" w:eastAsia="宋体" w:cs="宋体"/>
                <w:b/>
                <w:bCs/>
                <w:color w:val="000000"/>
                <w:spacing w:val="0"/>
                <w:w w:val="100"/>
                <w:position w:val="0"/>
                <w:sz w:val="18"/>
                <w:szCs w:val="18"/>
              </w:rPr>
              <w:t>2</w:t>
            </w:r>
            <w:r>
              <w:rPr>
                <w:rFonts w:hint="eastAsia" w:ascii="宋体" w:hAnsi="宋体" w:eastAsia="宋体" w:cs="宋体"/>
                <w:color w:val="000000"/>
                <w:spacing w:val="0"/>
                <w:w w:val="100"/>
                <w:position w:val="0"/>
                <w:sz w:val="18"/>
                <w:szCs w:val="18"/>
              </w:rPr>
              <w:t>分。扣完为止。</w:t>
            </w:r>
          </w:p>
        </w:tc>
        <w:tc>
          <w:tcPr>
            <w:tcW w:w="2811"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7"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政府采购执行率=（实际政府采购金额/政府采购预算数）×</w:t>
            </w:r>
            <w:r>
              <w:rPr>
                <w:rFonts w:hint="eastAsia" w:ascii="宋体" w:hAnsi="宋体" w:eastAsia="宋体" w:cs="宋体"/>
                <w:b/>
                <w:bCs/>
                <w:color w:val="000000"/>
                <w:spacing w:val="0"/>
                <w:w w:val="100"/>
                <w:position w:val="0"/>
                <w:sz w:val="18"/>
                <w:szCs w:val="18"/>
                <w:lang w:val="en-US" w:eastAsia="en-US" w:bidi="en-US"/>
              </w:rPr>
              <w:t>100%</w:t>
            </w:r>
          </w:p>
        </w:tc>
        <w:tc>
          <w:tcPr>
            <w:tcW w:w="759" w:type="dxa"/>
            <w:tcBorders>
              <w:top w:val="single" w:color="auto" w:sz="4" w:space="0"/>
              <w:left w:val="single" w:color="auto" w:sz="4" w:space="0"/>
              <w:right w:val="single" w:color="auto" w:sz="4" w:space="0"/>
            </w:tcBorders>
            <w:shd w:val="clear" w:color="auto" w:fill="FFFFFF"/>
            <w:noWrap w:val="0"/>
            <w:vAlign w:val="top"/>
          </w:tcPr>
          <w:p>
            <w:pPr>
              <w:widowControl w:val="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r>
      <w:tr>
        <w:tblPrEx>
          <w:tblCellMar>
            <w:top w:w="0" w:type="dxa"/>
            <w:left w:w="10" w:type="dxa"/>
            <w:bottom w:w="0" w:type="dxa"/>
            <w:right w:w="10" w:type="dxa"/>
          </w:tblCellMar>
        </w:tblPrEx>
        <w:trPr>
          <w:trHeight w:val="2112" w:hRule="exact"/>
          <w:jc w:val="center"/>
        </w:trPr>
        <w:tc>
          <w:tcPr>
            <w:tcW w:w="368"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524"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460" w:type="dxa"/>
            <w:vMerge w:val="continue"/>
            <w:tcBorders>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6" w:lineRule="exact"/>
              <w:ind w:left="0" w:right="280" w:firstLine="180" w:firstLineChars="100"/>
              <w:jc w:val="both"/>
              <w:rPr>
                <w:rFonts w:hint="eastAsia" w:ascii="宋体" w:hAnsi="宋体" w:eastAsia="宋体" w:cs="宋体"/>
                <w:sz w:val="18"/>
                <w:szCs w:val="18"/>
              </w:rPr>
            </w:pPr>
          </w:p>
        </w:tc>
        <w:tc>
          <w:tcPr>
            <w:tcW w:w="572"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91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5"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管理制度健全性</w:t>
            </w:r>
          </w:p>
        </w:tc>
        <w:tc>
          <w:tcPr>
            <w:tcW w:w="41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000000"/>
                <w:spacing w:val="0"/>
                <w:w w:val="100"/>
                <w:position w:val="0"/>
                <w:sz w:val="18"/>
                <w:szCs w:val="18"/>
              </w:rPr>
            </w:pPr>
            <w:r>
              <w:rPr>
                <w:rFonts w:hint="eastAsia" w:ascii="宋体" w:hAnsi="宋体" w:eastAsia="宋体" w:cs="宋体"/>
                <w:b/>
                <w:bCs/>
                <w:color w:val="000000"/>
                <w:spacing w:val="0"/>
                <w:w w:val="100"/>
                <w:position w:val="0"/>
                <w:sz w:val="18"/>
                <w:szCs w:val="18"/>
              </w:rPr>
              <w:t>8</w:t>
            </w:r>
          </w:p>
        </w:tc>
        <w:tc>
          <w:tcPr>
            <w:tcW w:w="2943" w:type="dxa"/>
            <w:tcBorders>
              <w:top w:val="single" w:color="auto" w:sz="4" w:space="0"/>
              <w:left w:val="single" w:color="auto" w:sz="4" w:space="0"/>
            </w:tcBorders>
            <w:shd w:val="clear" w:color="auto" w:fill="FFFFFF"/>
            <w:noWrap w:val="0"/>
            <w:vAlign w:val="bottom"/>
          </w:tcPr>
          <w:p>
            <w:pPr>
              <w:pStyle w:val="6"/>
              <w:keepNext w:val="0"/>
              <w:keepLines w:val="0"/>
              <w:widowControl w:val="0"/>
              <w:shd w:val="clear" w:color="auto" w:fill="auto"/>
              <w:bidi w:val="0"/>
              <w:spacing w:before="0" w:after="0" w:line="307" w:lineRule="exact"/>
              <w:ind w:left="0" w:right="0" w:firstLine="0"/>
              <w:jc w:val="left"/>
              <w:rPr>
                <w:rFonts w:hint="eastAsia" w:ascii="宋体" w:hAnsi="宋体" w:eastAsia="宋体" w:cs="宋体"/>
                <w:b w:val="0"/>
                <w:bCs w:val="0"/>
                <w:color w:val="000000"/>
                <w:spacing w:val="0"/>
                <w:w w:val="100"/>
                <w:position w:val="0"/>
                <w:sz w:val="18"/>
                <w:szCs w:val="18"/>
              </w:rPr>
            </w:pPr>
            <w:r>
              <w:rPr>
                <w:rFonts w:hint="eastAsia" w:ascii="宋体" w:hAnsi="宋体" w:eastAsia="宋体" w:cs="宋体"/>
                <w:b w:val="0"/>
                <w:bCs w:val="0"/>
                <w:color w:val="000000"/>
                <w:spacing w:val="0"/>
                <w:w w:val="100"/>
                <w:position w:val="0"/>
                <w:sz w:val="18"/>
                <w:szCs w:val="18"/>
                <w:lang w:val="en-US" w:eastAsia="zh-CN"/>
              </w:rPr>
              <w:t>1、</w:t>
            </w:r>
            <w:r>
              <w:rPr>
                <w:rFonts w:hint="eastAsia" w:ascii="宋体" w:hAnsi="宋体" w:eastAsia="宋体" w:cs="宋体"/>
                <w:b w:val="0"/>
                <w:bCs w:val="0"/>
                <w:color w:val="000000"/>
                <w:spacing w:val="0"/>
                <w:w w:val="100"/>
                <w:position w:val="0"/>
                <w:sz w:val="18"/>
                <w:szCs w:val="18"/>
              </w:rPr>
              <w:t>有内部财务管理制度、会计核算制度等管理制度，2 分；</w:t>
            </w:r>
          </w:p>
          <w:p>
            <w:pPr>
              <w:pStyle w:val="6"/>
              <w:keepNext w:val="0"/>
              <w:keepLines w:val="0"/>
              <w:widowControl w:val="0"/>
              <w:shd w:val="clear" w:color="auto" w:fill="auto"/>
              <w:bidi w:val="0"/>
              <w:spacing w:before="0" w:after="0" w:line="307" w:lineRule="exact"/>
              <w:ind w:left="0" w:right="0" w:firstLine="0"/>
              <w:jc w:val="left"/>
              <w:rPr>
                <w:rFonts w:hint="eastAsia" w:ascii="宋体" w:hAnsi="宋体" w:eastAsia="宋体" w:cs="宋体"/>
                <w:b w:val="0"/>
                <w:bCs w:val="0"/>
                <w:color w:val="000000"/>
                <w:spacing w:val="0"/>
                <w:w w:val="100"/>
                <w:position w:val="0"/>
                <w:sz w:val="18"/>
                <w:szCs w:val="18"/>
              </w:rPr>
            </w:pPr>
            <w:r>
              <w:rPr>
                <w:rFonts w:hint="eastAsia" w:ascii="宋体" w:hAnsi="宋体" w:eastAsia="宋体" w:cs="宋体"/>
                <w:b w:val="0"/>
                <w:bCs w:val="0"/>
                <w:color w:val="000000"/>
                <w:spacing w:val="0"/>
                <w:w w:val="100"/>
                <w:position w:val="0"/>
                <w:sz w:val="18"/>
                <w:szCs w:val="18"/>
                <w:lang w:val="en-US" w:eastAsia="zh-CN"/>
              </w:rPr>
              <w:t>2、</w:t>
            </w:r>
            <w:r>
              <w:rPr>
                <w:rFonts w:hint="eastAsia" w:ascii="宋体" w:hAnsi="宋体" w:eastAsia="宋体" w:cs="宋体"/>
                <w:b w:val="0"/>
                <w:bCs w:val="0"/>
                <w:color w:val="000000"/>
                <w:spacing w:val="0"/>
                <w:w w:val="100"/>
                <w:position w:val="0"/>
                <w:sz w:val="18"/>
                <w:szCs w:val="18"/>
              </w:rPr>
              <w:t>有本部门厉行节约制度,2分；</w:t>
            </w:r>
          </w:p>
          <w:p>
            <w:pPr>
              <w:pStyle w:val="6"/>
              <w:keepNext w:val="0"/>
              <w:keepLines w:val="0"/>
              <w:widowControl w:val="0"/>
              <w:shd w:val="clear" w:color="auto" w:fill="auto"/>
              <w:bidi w:val="0"/>
              <w:spacing w:before="0" w:after="0" w:line="307" w:lineRule="exact"/>
              <w:ind w:left="0" w:right="0" w:firstLine="0"/>
              <w:jc w:val="left"/>
              <w:rPr>
                <w:rFonts w:hint="eastAsia" w:cs="宋体"/>
                <w:b w:val="0"/>
                <w:bCs w:val="0"/>
                <w:color w:val="000000"/>
                <w:spacing w:val="0"/>
                <w:w w:val="100"/>
                <w:position w:val="0"/>
                <w:sz w:val="18"/>
                <w:szCs w:val="18"/>
                <w:lang w:val="en-US" w:eastAsia="zh-CN"/>
              </w:rPr>
            </w:pPr>
            <w:r>
              <w:rPr>
                <w:rFonts w:hint="eastAsia" w:ascii="宋体" w:hAnsi="宋体" w:eastAsia="宋体" w:cs="宋体"/>
                <w:b w:val="0"/>
                <w:bCs w:val="0"/>
                <w:color w:val="000000"/>
                <w:spacing w:val="0"/>
                <w:w w:val="100"/>
                <w:position w:val="0"/>
                <w:sz w:val="18"/>
                <w:szCs w:val="18"/>
                <w:lang w:val="en-US" w:eastAsia="zh-CN"/>
              </w:rPr>
              <w:t>3、</w:t>
            </w:r>
            <w:r>
              <w:rPr>
                <w:rFonts w:hint="eastAsia" w:ascii="宋体" w:hAnsi="宋体" w:eastAsia="宋体" w:cs="宋体"/>
                <w:b w:val="0"/>
                <w:bCs w:val="0"/>
                <w:color w:val="000000"/>
                <w:spacing w:val="0"/>
                <w:w w:val="100"/>
                <w:position w:val="0"/>
                <w:sz w:val="18"/>
                <w:szCs w:val="18"/>
              </w:rPr>
              <w:t>相关管理制度合法、合规、完整，2分；</w:t>
            </w:r>
            <w:r>
              <w:rPr>
                <w:rFonts w:hint="eastAsia" w:cs="宋体"/>
                <w:b w:val="0"/>
                <w:bCs w:val="0"/>
                <w:color w:val="000000"/>
                <w:spacing w:val="0"/>
                <w:w w:val="100"/>
                <w:position w:val="0"/>
                <w:sz w:val="18"/>
                <w:szCs w:val="18"/>
                <w:lang w:val="en-US" w:eastAsia="zh-CN"/>
              </w:rPr>
              <w:t xml:space="preserve"> </w:t>
            </w:r>
          </w:p>
          <w:p>
            <w:pPr>
              <w:pStyle w:val="6"/>
              <w:keepNext w:val="0"/>
              <w:keepLines w:val="0"/>
              <w:widowControl w:val="0"/>
              <w:shd w:val="clear" w:color="auto" w:fill="auto"/>
              <w:bidi w:val="0"/>
              <w:spacing w:before="0" w:after="0" w:line="307" w:lineRule="exact"/>
              <w:ind w:left="0" w:right="0" w:firstLine="0"/>
              <w:jc w:val="left"/>
              <w:rPr>
                <w:rFonts w:hint="eastAsia" w:ascii="宋体" w:hAnsi="宋体" w:eastAsia="宋体" w:cs="宋体"/>
                <w:b w:val="0"/>
                <w:bCs w:val="0"/>
                <w:color w:val="000000"/>
                <w:spacing w:val="0"/>
                <w:w w:val="100"/>
                <w:position w:val="0"/>
                <w:sz w:val="18"/>
                <w:szCs w:val="18"/>
              </w:rPr>
            </w:pPr>
            <w:r>
              <w:rPr>
                <w:rFonts w:hint="eastAsia" w:ascii="宋体" w:hAnsi="宋体" w:eastAsia="宋体" w:cs="宋体"/>
                <w:b w:val="0"/>
                <w:bCs w:val="0"/>
                <w:color w:val="000000"/>
                <w:spacing w:val="0"/>
                <w:w w:val="100"/>
                <w:position w:val="0"/>
                <w:sz w:val="18"/>
                <w:szCs w:val="18"/>
                <w:lang w:val="en-US" w:eastAsia="zh-CN"/>
              </w:rPr>
              <w:t>4、</w:t>
            </w:r>
            <w:r>
              <w:rPr>
                <w:rFonts w:hint="eastAsia" w:ascii="宋体" w:hAnsi="宋体" w:eastAsia="宋体" w:cs="宋体"/>
                <w:b w:val="0"/>
                <w:bCs w:val="0"/>
                <w:color w:val="000000"/>
                <w:spacing w:val="0"/>
                <w:w w:val="100"/>
                <w:position w:val="0"/>
                <w:sz w:val="18"/>
                <w:szCs w:val="18"/>
              </w:rPr>
              <w:t>相关管理制度得到有效执行，2分。</w:t>
            </w:r>
          </w:p>
          <w:p>
            <w:pPr>
              <w:pStyle w:val="6"/>
              <w:keepNext w:val="0"/>
              <w:keepLines w:val="0"/>
              <w:widowControl w:val="0"/>
              <w:shd w:val="clear" w:color="auto" w:fill="auto"/>
              <w:bidi w:val="0"/>
              <w:spacing w:before="0" w:after="0" w:line="307" w:lineRule="exact"/>
              <w:ind w:left="0" w:right="0" w:firstLine="0"/>
              <w:jc w:val="left"/>
              <w:rPr>
                <w:rFonts w:hint="eastAsia" w:ascii="宋体" w:hAnsi="宋体" w:eastAsia="宋体" w:cs="宋体"/>
                <w:b w:val="0"/>
                <w:bCs w:val="0"/>
                <w:color w:val="000000"/>
                <w:spacing w:val="0"/>
                <w:w w:val="100"/>
                <w:position w:val="0"/>
                <w:sz w:val="18"/>
                <w:szCs w:val="18"/>
              </w:rPr>
            </w:pPr>
          </w:p>
        </w:tc>
        <w:tc>
          <w:tcPr>
            <w:tcW w:w="2811" w:type="dxa"/>
            <w:tcBorders>
              <w:top w:val="single" w:color="auto" w:sz="4" w:space="0"/>
              <w:left w:val="single" w:color="auto" w:sz="4" w:space="0"/>
            </w:tcBorders>
            <w:shd w:val="clear" w:color="auto" w:fill="FFFFFF"/>
            <w:noWrap w:val="0"/>
            <w:vAlign w:val="top"/>
          </w:tcPr>
          <w:p>
            <w:pPr>
              <w:widowControl w:val="0"/>
              <w:jc w:val="left"/>
              <w:rPr>
                <w:rFonts w:hint="eastAsia" w:ascii="宋体" w:hAnsi="宋体" w:eastAsia="宋体" w:cs="宋体"/>
                <w:sz w:val="18"/>
                <w:szCs w:val="18"/>
              </w:rPr>
            </w:pPr>
          </w:p>
        </w:tc>
        <w:tc>
          <w:tcPr>
            <w:tcW w:w="759" w:type="dxa"/>
            <w:tcBorders>
              <w:top w:val="single" w:color="auto" w:sz="4" w:space="0"/>
              <w:left w:val="single" w:color="auto" w:sz="4" w:space="0"/>
              <w:right w:val="single" w:color="auto" w:sz="4" w:space="0"/>
            </w:tcBorders>
            <w:shd w:val="clear" w:color="auto" w:fill="FFFFFF"/>
            <w:noWrap w:val="0"/>
            <w:vAlign w:val="top"/>
          </w:tcPr>
          <w:p>
            <w:pPr>
              <w:widowControl w:val="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r>
      <w:tr>
        <w:tblPrEx>
          <w:tblCellMar>
            <w:top w:w="0" w:type="dxa"/>
            <w:left w:w="10" w:type="dxa"/>
            <w:bottom w:w="0" w:type="dxa"/>
            <w:right w:w="10" w:type="dxa"/>
          </w:tblCellMar>
        </w:tblPrEx>
        <w:trPr>
          <w:trHeight w:val="3451" w:hRule="exact"/>
          <w:jc w:val="center"/>
        </w:trPr>
        <w:tc>
          <w:tcPr>
            <w:tcW w:w="368"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524"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460"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572"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91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资金使用合规性</w:t>
            </w:r>
          </w:p>
        </w:tc>
        <w:tc>
          <w:tcPr>
            <w:tcW w:w="41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6</w:t>
            </w:r>
          </w:p>
        </w:tc>
        <w:tc>
          <w:tcPr>
            <w:tcW w:w="2943" w:type="dxa"/>
            <w:tcBorders>
              <w:top w:val="single" w:color="auto" w:sz="4" w:space="0"/>
              <w:left w:val="single" w:color="auto" w:sz="4" w:space="0"/>
            </w:tcBorders>
            <w:shd w:val="clear" w:color="auto" w:fill="FFFFFF"/>
            <w:noWrap w:val="0"/>
            <w:vAlign w:val="bottom"/>
          </w:tcPr>
          <w:p>
            <w:pPr>
              <w:pStyle w:val="6"/>
              <w:keepNext w:val="0"/>
              <w:keepLines w:val="0"/>
              <w:widowControl w:val="0"/>
              <w:numPr>
                <w:ilvl w:val="0"/>
                <w:numId w:val="0"/>
              </w:numPr>
              <w:shd w:val="clear" w:color="auto" w:fill="auto"/>
              <w:tabs>
                <w:tab w:val="left" w:pos="211"/>
              </w:tabs>
              <w:bidi w:val="0"/>
              <w:spacing w:before="0" w:after="0" w:line="313" w:lineRule="exact"/>
              <w:ind w:leftChars="0" w:right="0" w:rightChars="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zh-CN"/>
              </w:rPr>
              <w:t>1、</w:t>
            </w:r>
            <w:r>
              <w:rPr>
                <w:rFonts w:hint="eastAsia" w:ascii="宋体" w:hAnsi="宋体" w:eastAsia="宋体" w:cs="宋体"/>
                <w:color w:val="000000"/>
                <w:spacing w:val="0"/>
                <w:w w:val="100"/>
                <w:position w:val="0"/>
                <w:sz w:val="18"/>
                <w:szCs w:val="18"/>
              </w:rPr>
              <w:t>支出符合国家财经法规和财务管理制度规定以及有关专项资金管理办法的规定；</w:t>
            </w:r>
          </w:p>
          <w:p>
            <w:pPr>
              <w:pStyle w:val="6"/>
              <w:keepNext w:val="0"/>
              <w:keepLines w:val="0"/>
              <w:widowControl w:val="0"/>
              <w:numPr>
                <w:ilvl w:val="0"/>
                <w:numId w:val="0"/>
              </w:numPr>
              <w:shd w:val="clear" w:color="auto" w:fill="auto"/>
              <w:tabs>
                <w:tab w:val="left" w:pos="221"/>
              </w:tabs>
              <w:bidi w:val="0"/>
              <w:spacing w:before="0" w:after="0" w:line="313" w:lineRule="exact"/>
              <w:ind w:leftChars="0" w:right="0" w:rightChars="0"/>
              <w:jc w:val="left"/>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lang w:val="en-US" w:eastAsia="zh-CN"/>
              </w:rPr>
              <w:t>2、</w:t>
            </w:r>
            <w:r>
              <w:rPr>
                <w:rFonts w:hint="eastAsia" w:ascii="宋体" w:hAnsi="宋体" w:eastAsia="宋体" w:cs="宋体"/>
                <w:color w:val="000000"/>
                <w:spacing w:val="0"/>
                <w:w w:val="100"/>
                <w:position w:val="0"/>
                <w:sz w:val="18"/>
                <w:szCs w:val="18"/>
              </w:rPr>
              <w:t>资金拨付有完整的审批程序和手续；</w:t>
            </w:r>
          </w:p>
          <w:p>
            <w:pPr>
              <w:pStyle w:val="6"/>
              <w:keepNext w:val="0"/>
              <w:keepLines w:val="0"/>
              <w:widowControl w:val="0"/>
              <w:numPr>
                <w:ilvl w:val="0"/>
                <w:numId w:val="0"/>
              </w:numPr>
              <w:shd w:val="clear" w:color="auto" w:fill="auto"/>
              <w:tabs>
                <w:tab w:val="left" w:pos="221"/>
              </w:tabs>
              <w:bidi w:val="0"/>
              <w:spacing w:before="0" w:after="0" w:line="313" w:lineRule="exact"/>
              <w:ind w:leftChars="0" w:right="0" w:rightChars="0"/>
              <w:jc w:val="left"/>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lang w:val="en-US" w:eastAsia="zh-CN"/>
              </w:rPr>
              <w:t>3、</w:t>
            </w:r>
            <w:r>
              <w:rPr>
                <w:rFonts w:hint="eastAsia" w:ascii="宋体" w:hAnsi="宋体" w:eastAsia="宋体" w:cs="宋体"/>
                <w:color w:val="000000"/>
                <w:spacing w:val="0"/>
                <w:w w:val="100"/>
                <w:position w:val="0"/>
                <w:sz w:val="18"/>
                <w:szCs w:val="18"/>
              </w:rPr>
              <w:t>项目支出按规定经过评估论证；</w:t>
            </w:r>
          </w:p>
          <w:p>
            <w:pPr>
              <w:pStyle w:val="6"/>
              <w:keepNext w:val="0"/>
              <w:keepLines w:val="0"/>
              <w:widowControl w:val="0"/>
              <w:numPr>
                <w:ilvl w:val="0"/>
                <w:numId w:val="0"/>
              </w:numPr>
              <w:shd w:val="clear" w:color="auto" w:fill="auto"/>
              <w:tabs>
                <w:tab w:val="left" w:pos="221"/>
              </w:tabs>
              <w:bidi w:val="0"/>
              <w:spacing w:before="0" w:after="0" w:line="313" w:lineRule="exact"/>
              <w:ind w:leftChars="0" w:right="0" w:rightChars="0"/>
              <w:jc w:val="left"/>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lang w:val="en-US" w:eastAsia="zh-CN"/>
              </w:rPr>
              <w:t>4、</w:t>
            </w:r>
            <w:r>
              <w:rPr>
                <w:rFonts w:hint="eastAsia" w:ascii="宋体" w:hAnsi="宋体" w:eastAsia="宋体" w:cs="宋体"/>
                <w:color w:val="000000"/>
                <w:spacing w:val="0"/>
                <w:w w:val="100"/>
                <w:position w:val="0"/>
                <w:sz w:val="18"/>
                <w:szCs w:val="18"/>
              </w:rPr>
              <w:t>支出符合部门预算批复的用途；</w:t>
            </w:r>
          </w:p>
          <w:p>
            <w:pPr>
              <w:pStyle w:val="6"/>
              <w:keepNext w:val="0"/>
              <w:keepLines w:val="0"/>
              <w:widowControl w:val="0"/>
              <w:numPr>
                <w:ilvl w:val="0"/>
                <w:numId w:val="0"/>
              </w:numPr>
              <w:shd w:val="clear" w:color="auto" w:fill="auto"/>
              <w:tabs>
                <w:tab w:val="left" w:pos="221"/>
              </w:tabs>
              <w:bidi w:val="0"/>
              <w:spacing w:before="0" w:after="0" w:line="313" w:lineRule="exact"/>
              <w:ind w:leftChars="0" w:right="0" w:rightChars="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zh-CN"/>
              </w:rPr>
              <w:t>5、</w:t>
            </w:r>
            <w:r>
              <w:rPr>
                <w:rFonts w:hint="eastAsia" w:ascii="宋体" w:hAnsi="宋体" w:eastAsia="宋体" w:cs="宋体"/>
                <w:color w:val="000000"/>
                <w:spacing w:val="0"/>
                <w:w w:val="100"/>
                <w:position w:val="0"/>
                <w:sz w:val="18"/>
                <w:szCs w:val="18"/>
              </w:rPr>
              <w:t xml:space="preserve"> 资金使用无截留、挤占、挪 用、虚列支出等情况。</w:t>
            </w:r>
          </w:p>
          <w:p>
            <w:pPr>
              <w:pStyle w:val="6"/>
              <w:keepNext w:val="0"/>
              <w:keepLines w:val="0"/>
              <w:widowControl w:val="0"/>
              <w:shd w:val="clear" w:color="auto" w:fill="auto"/>
              <w:bidi w:val="0"/>
              <w:spacing w:before="0" w:after="0" w:line="313"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以上情况每出现一例不符合 要求的扣</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分，扣完为止。</w:t>
            </w:r>
          </w:p>
        </w:tc>
        <w:tc>
          <w:tcPr>
            <w:tcW w:w="2811" w:type="dxa"/>
            <w:tcBorders>
              <w:top w:val="single" w:color="auto" w:sz="4" w:space="0"/>
              <w:left w:val="single" w:color="auto" w:sz="4" w:space="0"/>
            </w:tcBorders>
            <w:shd w:val="clear" w:color="auto" w:fill="FFFFFF"/>
            <w:noWrap w:val="0"/>
            <w:vAlign w:val="top"/>
          </w:tcPr>
          <w:p>
            <w:pPr>
              <w:widowControl w:val="0"/>
              <w:jc w:val="left"/>
              <w:rPr>
                <w:rFonts w:hint="eastAsia" w:ascii="宋体" w:hAnsi="宋体" w:eastAsia="宋体" w:cs="宋体"/>
                <w:sz w:val="18"/>
                <w:szCs w:val="18"/>
              </w:rPr>
            </w:pPr>
          </w:p>
        </w:tc>
        <w:tc>
          <w:tcPr>
            <w:tcW w:w="759" w:type="dxa"/>
            <w:tcBorders>
              <w:top w:val="single" w:color="auto" w:sz="4" w:space="0"/>
              <w:left w:val="single" w:color="auto" w:sz="4" w:space="0"/>
              <w:right w:val="single" w:color="auto" w:sz="4" w:space="0"/>
            </w:tcBorders>
            <w:shd w:val="clear" w:color="auto" w:fill="FFFFFF"/>
            <w:noWrap w:val="0"/>
            <w:vAlign w:val="top"/>
          </w:tcPr>
          <w:p>
            <w:pPr>
              <w:widowControl w:val="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r>
      <w:tr>
        <w:tblPrEx>
          <w:tblCellMar>
            <w:top w:w="0" w:type="dxa"/>
            <w:left w:w="10" w:type="dxa"/>
            <w:bottom w:w="0" w:type="dxa"/>
            <w:right w:w="10" w:type="dxa"/>
          </w:tblCellMar>
        </w:tblPrEx>
        <w:trPr>
          <w:trHeight w:val="2587" w:hRule="exact"/>
          <w:jc w:val="center"/>
        </w:trPr>
        <w:tc>
          <w:tcPr>
            <w:tcW w:w="368" w:type="dxa"/>
            <w:vMerge w:val="continue"/>
            <w:tcBorders>
              <w:left w:val="single" w:color="auto" w:sz="4" w:space="0"/>
              <w:bottom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524" w:type="dxa"/>
            <w:vMerge w:val="continue"/>
            <w:tcBorders>
              <w:left w:val="single" w:color="auto" w:sz="4" w:space="0"/>
              <w:bottom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460" w:type="dxa"/>
            <w:vMerge w:val="continue"/>
            <w:tcBorders>
              <w:left w:val="single" w:color="auto" w:sz="4" w:space="0"/>
              <w:bottom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572" w:type="dxa"/>
            <w:vMerge w:val="continue"/>
            <w:tcBorders>
              <w:left w:val="single" w:color="auto" w:sz="4" w:space="0"/>
              <w:bottom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916"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预决算信息公开性</w:t>
            </w:r>
          </w:p>
        </w:tc>
        <w:tc>
          <w:tcPr>
            <w:tcW w:w="418"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5</w:t>
            </w:r>
          </w:p>
        </w:tc>
        <w:tc>
          <w:tcPr>
            <w:tcW w:w="2943" w:type="dxa"/>
            <w:tcBorders>
              <w:top w:val="single" w:color="auto" w:sz="4" w:space="0"/>
              <w:left w:val="single" w:color="auto" w:sz="4" w:space="0"/>
              <w:bottom w:val="single" w:color="auto" w:sz="4" w:space="0"/>
            </w:tcBorders>
            <w:shd w:val="clear" w:color="auto" w:fill="FFFFFF"/>
            <w:noWrap w:val="0"/>
            <w:vAlign w:val="top"/>
          </w:tcPr>
          <w:p>
            <w:pPr>
              <w:pStyle w:val="6"/>
              <w:keepNext w:val="0"/>
              <w:keepLines w:val="0"/>
              <w:widowControl w:val="0"/>
              <w:numPr>
                <w:ilvl w:val="0"/>
                <w:numId w:val="1"/>
              </w:numPr>
              <w:shd w:val="clear" w:color="auto" w:fill="auto"/>
              <w:bidi w:val="0"/>
              <w:spacing w:before="0" w:after="0" w:line="311" w:lineRule="exact"/>
              <w:ind w:left="0" w:right="0" w:firstLine="0"/>
              <w:jc w:val="left"/>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按规定内容公开预决算信息，</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分；</w:t>
            </w:r>
          </w:p>
          <w:p>
            <w:pPr>
              <w:pStyle w:val="6"/>
              <w:keepNext w:val="0"/>
              <w:keepLines w:val="0"/>
              <w:widowControl w:val="0"/>
              <w:numPr>
                <w:ilvl w:val="0"/>
                <w:numId w:val="1"/>
              </w:numPr>
              <w:shd w:val="clear" w:color="auto" w:fill="auto"/>
              <w:bidi w:val="0"/>
              <w:spacing w:before="0" w:after="0" w:line="311" w:lineRule="exact"/>
              <w:ind w:left="0" w:leftChars="0" w:right="0" w:rightChars="0" w:firstLine="0" w:firstLineChars="0"/>
              <w:jc w:val="left"/>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按规定时限公开预决算信息，</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分；</w:t>
            </w:r>
          </w:p>
          <w:p>
            <w:pPr>
              <w:pStyle w:val="6"/>
              <w:keepNext w:val="0"/>
              <w:keepLines w:val="0"/>
              <w:widowControl w:val="0"/>
              <w:numPr>
                <w:ilvl w:val="0"/>
                <w:numId w:val="1"/>
              </w:numPr>
              <w:shd w:val="clear" w:color="auto" w:fill="auto"/>
              <w:bidi w:val="0"/>
              <w:spacing w:before="0" w:after="0" w:line="311" w:lineRule="exact"/>
              <w:ind w:left="0" w:leftChars="0" w:right="0" w:rightChars="0" w:firstLine="0" w:firstLineChars="0"/>
              <w:jc w:val="left"/>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基础数据信息和会计信息资料 真实，</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分；</w:t>
            </w:r>
          </w:p>
          <w:p>
            <w:pPr>
              <w:pStyle w:val="6"/>
              <w:keepNext w:val="0"/>
              <w:keepLines w:val="0"/>
              <w:widowControl w:val="0"/>
              <w:numPr>
                <w:ilvl w:val="0"/>
                <w:numId w:val="1"/>
              </w:numPr>
              <w:shd w:val="clear" w:color="auto" w:fill="auto"/>
              <w:bidi w:val="0"/>
              <w:spacing w:before="0" w:after="0" w:line="311" w:lineRule="exact"/>
              <w:ind w:left="0" w:leftChars="0" w:right="0" w:rightChars="0" w:firstLine="0" w:firstLineChars="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基础数据信 息和会计信息资料完整，</w:t>
            </w:r>
            <w:r>
              <w:rPr>
                <w:rFonts w:hint="eastAsia" w:ascii="宋体" w:hAnsi="宋体" w:eastAsia="宋体" w:cs="宋体"/>
                <w:b/>
                <w:bCs/>
                <w:color w:val="000000"/>
                <w:spacing w:val="0"/>
                <w:w w:val="100"/>
                <w:position w:val="0"/>
                <w:sz w:val="18"/>
                <w:szCs w:val="18"/>
              </w:rPr>
              <w:t xml:space="preserve">1 </w:t>
            </w:r>
            <w:r>
              <w:rPr>
                <w:rFonts w:hint="eastAsia" w:ascii="宋体" w:hAnsi="宋体" w:eastAsia="宋体" w:cs="宋体"/>
                <w:color w:val="000000"/>
                <w:spacing w:val="0"/>
                <w:w w:val="100"/>
                <w:position w:val="0"/>
                <w:sz w:val="18"/>
                <w:szCs w:val="18"/>
              </w:rPr>
              <w:t>分；</w:t>
            </w:r>
          </w:p>
          <w:p>
            <w:pPr>
              <w:pStyle w:val="6"/>
              <w:keepNext w:val="0"/>
              <w:keepLines w:val="0"/>
              <w:widowControl w:val="0"/>
              <w:numPr>
                <w:ilvl w:val="0"/>
                <w:numId w:val="1"/>
              </w:numPr>
              <w:shd w:val="clear" w:color="auto" w:fill="auto"/>
              <w:bidi w:val="0"/>
              <w:spacing w:before="0" w:after="0" w:line="311" w:lineRule="exact"/>
              <w:ind w:left="0" w:leftChars="0" w:right="0" w:rightChars="0" w:firstLine="0" w:firstLineChars="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基础数据信息和汇集信息资料准确，</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分。</w:t>
            </w:r>
          </w:p>
        </w:tc>
        <w:tc>
          <w:tcPr>
            <w:tcW w:w="281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5"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预决算信息是指与部门预算、执行、决算、监督、绩效等管理相关的信息。</w:t>
            </w:r>
          </w:p>
        </w:tc>
        <w:tc>
          <w:tcPr>
            <w:tcW w:w="75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r>
    </w:tbl>
    <w:p>
      <w:pPr>
        <w:spacing w:line="1" w:lineRule="exact"/>
        <w:jc w:val="center"/>
        <w:rPr>
          <w:rFonts w:hint="eastAsia" w:ascii="宋体" w:hAnsi="宋体" w:eastAsia="宋体" w:cs="宋体"/>
          <w:sz w:val="18"/>
          <w:szCs w:val="18"/>
        </w:rPr>
      </w:pPr>
      <w:r>
        <w:rPr>
          <w:rFonts w:hint="eastAsia" w:ascii="宋体" w:hAnsi="宋体" w:eastAsia="宋体" w:cs="宋体"/>
          <w:sz w:val="18"/>
          <w:szCs w:val="18"/>
        </w:rPr>
        <w:br w:type="page"/>
      </w:r>
    </w:p>
    <w:tbl>
      <w:tblPr>
        <w:tblStyle w:val="3"/>
        <w:tblW w:w="9771" w:type="dxa"/>
        <w:jc w:val="center"/>
        <w:tblLayout w:type="fixed"/>
        <w:tblCellMar>
          <w:top w:w="0" w:type="dxa"/>
          <w:left w:w="10" w:type="dxa"/>
          <w:bottom w:w="0" w:type="dxa"/>
          <w:right w:w="10" w:type="dxa"/>
        </w:tblCellMar>
      </w:tblPr>
      <w:tblGrid>
        <w:gridCol w:w="452"/>
        <w:gridCol w:w="440"/>
        <w:gridCol w:w="634"/>
        <w:gridCol w:w="398"/>
        <w:gridCol w:w="1084"/>
        <w:gridCol w:w="408"/>
        <w:gridCol w:w="2724"/>
        <w:gridCol w:w="2784"/>
        <w:gridCol w:w="847"/>
      </w:tblGrid>
      <w:tr>
        <w:tblPrEx>
          <w:tblCellMar>
            <w:top w:w="0" w:type="dxa"/>
            <w:left w:w="10" w:type="dxa"/>
            <w:bottom w:w="0" w:type="dxa"/>
            <w:right w:w="10" w:type="dxa"/>
          </w:tblCellMar>
        </w:tblPrEx>
        <w:trPr>
          <w:trHeight w:val="1262" w:hRule="exact"/>
          <w:jc w:val="center"/>
        </w:trPr>
        <w:tc>
          <w:tcPr>
            <w:tcW w:w="452" w:type="dxa"/>
            <w:tcBorders>
              <w:top w:val="single" w:color="auto" w:sz="4" w:space="0"/>
              <w:left w:val="single" w:color="auto" w:sz="4" w:space="0"/>
            </w:tcBorders>
            <w:shd w:val="clear" w:color="auto" w:fill="FFFFFF"/>
            <w:noWrap w:val="0"/>
            <w:vAlign w:val="bottom"/>
          </w:tcPr>
          <w:p>
            <w:pPr>
              <w:pStyle w:val="6"/>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color w:val="000000"/>
                <w:spacing w:val="0"/>
                <w:w w:val="100"/>
                <w:position w:val="0"/>
                <w:sz w:val="18"/>
                <w:szCs w:val="18"/>
                <w:lang w:eastAsia="zh-CN"/>
              </w:rPr>
            </w:pPr>
            <w:r>
              <w:rPr>
                <w:rFonts w:hint="eastAsia" w:ascii="宋体" w:hAnsi="宋体" w:eastAsia="宋体" w:cs="宋体"/>
                <w:color w:val="000000"/>
                <w:spacing w:val="0"/>
                <w:w w:val="100"/>
                <w:position w:val="0"/>
                <w:sz w:val="18"/>
                <w:szCs w:val="18"/>
                <w:lang w:eastAsia="zh-CN"/>
              </w:rPr>
              <w:t>一</w:t>
            </w:r>
          </w:p>
          <w:p>
            <w:pPr>
              <w:pStyle w:val="6"/>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级 指 标</w:t>
            </w:r>
          </w:p>
        </w:tc>
        <w:tc>
          <w:tcPr>
            <w:tcW w:w="440"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634" w:type="dxa"/>
            <w:tcBorders>
              <w:top w:val="single" w:color="auto" w:sz="4" w:space="0"/>
              <w:left w:val="single" w:color="auto" w:sz="4" w:space="0"/>
            </w:tcBorders>
            <w:shd w:val="clear" w:color="auto" w:fill="FFFFFF"/>
            <w:noWrap w:val="0"/>
            <w:vAlign w:val="bottom"/>
          </w:tcPr>
          <w:p>
            <w:pPr>
              <w:pStyle w:val="6"/>
              <w:keepNext w:val="0"/>
              <w:keepLines w:val="0"/>
              <w:widowControl w:val="0"/>
              <w:shd w:val="clear" w:color="auto" w:fill="auto"/>
              <w:bidi w:val="0"/>
              <w:spacing w:before="0" w:after="0" w:line="312" w:lineRule="exact"/>
              <w:ind w:right="0" w:rightChars="0"/>
              <w:jc w:val="center"/>
              <w:rPr>
                <w:rFonts w:hint="eastAsia" w:ascii="宋体" w:hAnsi="宋体" w:eastAsia="宋体" w:cs="宋体"/>
                <w:color w:val="000000"/>
                <w:spacing w:val="0"/>
                <w:w w:val="100"/>
                <w:position w:val="0"/>
                <w:sz w:val="18"/>
                <w:szCs w:val="18"/>
                <w:lang w:eastAsia="zh-CN"/>
              </w:rPr>
            </w:pPr>
            <w:r>
              <w:rPr>
                <w:rFonts w:hint="eastAsia" w:ascii="宋体" w:hAnsi="宋体" w:eastAsia="宋体" w:cs="宋体"/>
                <w:color w:val="000000"/>
                <w:spacing w:val="0"/>
                <w:w w:val="100"/>
                <w:position w:val="0"/>
                <w:sz w:val="18"/>
                <w:szCs w:val="18"/>
                <w:lang w:eastAsia="zh-CN"/>
              </w:rPr>
              <w:t>二</w:t>
            </w:r>
          </w:p>
          <w:p>
            <w:pPr>
              <w:pStyle w:val="6"/>
              <w:keepNext w:val="0"/>
              <w:keepLines w:val="0"/>
              <w:widowControl w:val="0"/>
              <w:shd w:val="clear" w:color="auto" w:fill="auto"/>
              <w:bidi w:val="0"/>
              <w:spacing w:before="0" w:after="0" w:line="312" w:lineRule="exact"/>
              <w:ind w:right="0" w:rightChars="0"/>
              <w:jc w:val="center"/>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 xml:space="preserve">级 </w:t>
            </w:r>
          </w:p>
          <w:p>
            <w:pPr>
              <w:pStyle w:val="6"/>
              <w:keepNext w:val="0"/>
              <w:keepLines w:val="0"/>
              <w:widowControl w:val="0"/>
              <w:shd w:val="clear" w:color="auto" w:fill="auto"/>
              <w:bidi w:val="0"/>
              <w:spacing w:before="0" w:after="0" w:line="312" w:lineRule="exact"/>
              <w:ind w:right="0" w:rightChars="0"/>
              <w:jc w:val="center"/>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 xml:space="preserve">指 </w:t>
            </w:r>
          </w:p>
          <w:p>
            <w:pPr>
              <w:pStyle w:val="6"/>
              <w:keepNext w:val="0"/>
              <w:keepLines w:val="0"/>
              <w:widowControl w:val="0"/>
              <w:shd w:val="clear" w:color="auto" w:fill="auto"/>
              <w:bidi w:val="0"/>
              <w:spacing w:before="0" w:after="0" w:line="312" w:lineRule="exact"/>
              <w:ind w:right="0" w:right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标</w:t>
            </w:r>
          </w:p>
        </w:tc>
        <w:tc>
          <w:tcPr>
            <w:tcW w:w="39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108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7"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三级 指标</w:t>
            </w:r>
          </w:p>
        </w:tc>
        <w:tc>
          <w:tcPr>
            <w:tcW w:w="40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272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评价标准</w:t>
            </w:r>
          </w:p>
        </w:tc>
        <w:tc>
          <w:tcPr>
            <w:tcW w:w="278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指标说明</w:t>
            </w:r>
          </w:p>
        </w:tc>
        <w:tc>
          <w:tcPr>
            <w:tcW w:w="847"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7"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得 分</w:t>
            </w:r>
          </w:p>
        </w:tc>
      </w:tr>
      <w:tr>
        <w:tblPrEx>
          <w:tblCellMar>
            <w:top w:w="0" w:type="dxa"/>
            <w:left w:w="10" w:type="dxa"/>
            <w:bottom w:w="0" w:type="dxa"/>
            <w:right w:w="10" w:type="dxa"/>
          </w:tblCellMar>
        </w:tblPrEx>
        <w:trPr>
          <w:trHeight w:val="1610" w:hRule="exact"/>
          <w:jc w:val="center"/>
        </w:trPr>
        <w:tc>
          <w:tcPr>
            <w:tcW w:w="452"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产 出 及 效 率</w:t>
            </w:r>
          </w:p>
        </w:tc>
        <w:tc>
          <w:tcPr>
            <w:tcW w:w="440"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26</w:t>
            </w:r>
          </w:p>
        </w:tc>
        <w:tc>
          <w:tcPr>
            <w:tcW w:w="63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4" w:lineRule="exact"/>
              <w:ind w:left="20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职 责 履 行</w:t>
            </w:r>
          </w:p>
        </w:tc>
        <w:tc>
          <w:tcPr>
            <w:tcW w:w="39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14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8</w:t>
            </w:r>
          </w:p>
        </w:tc>
        <w:tc>
          <w:tcPr>
            <w:tcW w:w="108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重点工作实际完成率</w:t>
            </w:r>
          </w:p>
        </w:tc>
        <w:tc>
          <w:tcPr>
            <w:tcW w:w="40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8</w:t>
            </w:r>
          </w:p>
        </w:tc>
        <w:tc>
          <w:tcPr>
            <w:tcW w:w="272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9"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根据绩效办对各部门为民办 实事和部门重点工程与重点工作考核分数折算。</w:t>
            </w:r>
          </w:p>
          <w:p>
            <w:pPr>
              <w:pStyle w:val="6"/>
              <w:keepNext w:val="0"/>
              <w:keepLines w:val="0"/>
              <w:widowControl w:val="0"/>
              <w:shd w:val="clear" w:color="auto" w:fill="auto"/>
              <w:bidi w:val="0"/>
              <w:spacing w:before="0" w:after="0" w:line="309"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该项得分=（绩效办对应部分考核得分</w:t>
            </w:r>
            <w:r>
              <w:rPr>
                <w:rFonts w:hint="eastAsia" w:ascii="宋体" w:hAnsi="宋体" w:eastAsia="宋体" w:cs="宋体"/>
                <w:b/>
                <w:bCs/>
                <w:color w:val="000000"/>
                <w:spacing w:val="0"/>
                <w:w w:val="100"/>
                <w:position w:val="0"/>
                <w:sz w:val="18"/>
                <w:szCs w:val="18"/>
              </w:rPr>
              <w:t xml:space="preserve">/350） </w:t>
            </w:r>
            <w:r>
              <w:rPr>
                <w:rFonts w:hint="eastAsia" w:ascii="宋体" w:hAnsi="宋体" w:eastAsia="宋体" w:cs="宋体"/>
                <w:b/>
                <w:bCs/>
                <w:color w:val="000000"/>
                <w:spacing w:val="0"/>
                <w:w w:val="100"/>
                <w:position w:val="0"/>
                <w:sz w:val="18"/>
                <w:szCs w:val="18"/>
                <w:lang w:val="en-US" w:eastAsia="en-US" w:bidi="en-US"/>
              </w:rPr>
              <w:t>*8</w:t>
            </w:r>
          </w:p>
        </w:tc>
        <w:tc>
          <w:tcPr>
            <w:tcW w:w="2784" w:type="dxa"/>
            <w:tcBorders>
              <w:top w:val="single" w:color="auto" w:sz="4" w:space="0"/>
              <w:left w:val="single" w:color="auto" w:sz="4" w:space="0"/>
            </w:tcBorders>
            <w:shd w:val="clear" w:color="auto" w:fill="FFFFFF"/>
            <w:noWrap w:val="0"/>
            <w:vAlign w:val="top"/>
          </w:tcPr>
          <w:p>
            <w:pPr>
              <w:widowControl w:val="0"/>
              <w:jc w:val="left"/>
              <w:rPr>
                <w:rFonts w:hint="eastAsia" w:ascii="宋体" w:hAnsi="宋体" w:eastAsia="宋体" w:cs="宋体"/>
                <w:sz w:val="18"/>
                <w:szCs w:val="18"/>
              </w:rPr>
            </w:pPr>
          </w:p>
        </w:tc>
        <w:tc>
          <w:tcPr>
            <w:tcW w:w="847" w:type="dxa"/>
            <w:tcBorders>
              <w:top w:val="single" w:color="auto" w:sz="4" w:space="0"/>
              <w:left w:val="single" w:color="auto" w:sz="4" w:space="0"/>
              <w:right w:val="single" w:color="auto" w:sz="4" w:space="0"/>
            </w:tcBorders>
            <w:shd w:val="clear" w:color="auto" w:fill="FFFFFF"/>
            <w:noWrap w:val="0"/>
            <w:vAlign w:val="top"/>
          </w:tcPr>
          <w:p>
            <w:pPr>
              <w:widowControl w:val="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r>
      <w:tr>
        <w:tblPrEx>
          <w:tblCellMar>
            <w:top w:w="0" w:type="dxa"/>
            <w:left w:w="10" w:type="dxa"/>
            <w:bottom w:w="0" w:type="dxa"/>
            <w:right w:w="10" w:type="dxa"/>
          </w:tblCellMar>
        </w:tblPrEx>
        <w:trPr>
          <w:trHeight w:val="547" w:hRule="exact"/>
          <w:jc w:val="center"/>
        </w:trPr>
        <w:tc>
          <w:tcPr>
            <w:tcW w:w="452"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440"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634"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6" w:lineRule="exact"/>
              <w:ind w:left="20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履 职 效 益</w:t>
            </w:r>
          </w:p>
        </w:tc>
        <w:tc>
          <w:tcPr>
            <w:tcW w:w="398"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14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6</w:t>
            </w:r>
          </w:p>
        </w:tc>
        <w:tc>
          <w:tcPr>
            <w:tcW w:w="108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98"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经济效益</w:t>
            </w:r>
          </w:p>
        </w:tc>
        <w:tc>
          <w:tcPr>
            <w:tcW w:w="408"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6</w:t>
            </w:r>
          </w:p>
        </w:tc>
        <w:tc>
          <w:tcPr>
            <w:tcW w:w="5508" w:type="dxa"/>
            <w:gridSpan w:val="2"/>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07"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此两项指标为设置部门整体支出绩效评价指标时必须考虑的共性要素，可根据部门实际情况有选择的进行设置，并将其细化为相应的个性化指标。</w:t>
            </w:r>
          </w:p>
        </w:tc>
        <w:tc>
          <w:tcPr>
            <w:tcW w:w="847" w:type="dxa"/>
            <w:vMerge w:val="restart"/>
            <w:tcBorders>
              <w:top w:val="single" w:color="auto" w:sz="4" w:space="0"/>
              <w:left w:val="single" w:color="auto" w:sz="4" w:space="0"/>
              <w:right w:val="single" w:color="auto" w:sz="4" w:space="0"/>
            </w:tcBorders>
            <w:shd w:val="clear" w:color="auto" w:fill="FFFFFF"/>
            <w:noWrap w:val="0"/>
            <w:vAlign w:val="top"/>
          </w:tcPr>
          <w:p>
            <w:pPr>
              <w:widowControl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w:t>
            </w:r>
          </w:p>
        </w:tc>
      </w:tr>
      <w:tr>
        <w:tblPrEx>
          <w:tblCellMar>
            <w:top w:w="0" w:type="dxa"/>
            <w:left w:w="10" w:type="dxa"/>
            <w:bottom w:w="0" w:type="dxa"/>
            <w:right w:w="10" w:type="dxa"/>
          </w:tblCellMar>
        </w:tblPrEx>
        <w:trPr>
          <w:trHeight w:val="496" w:hRule="exact"/>
          <w:jc w:val="center"/>
        </w:trPr>
        <w:tc>
          <w:tcPr>
            <w:tcW w:w="452"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440"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634"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398"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108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93"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社会效益</w:t>
            </w:r>
          </w:p>
        </w:tc>
        <w:tc>
          <w:tcPr>
            <w:tcW w:w="408"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5508" w:type="dxa"/>
            <w:gridSpan w:val="2"/>
            <w:vMerge w:val="continue"/>
            <w:tcBorders>
              <w:left w:val="single" w:color="auto" w:sz="4" w:space="0"/>
            </w:tcBorders>
            <w:shd w:val="clear" w:color="auto" w:fill="FFFFFF"/>
            <w:noWrap w:val="0"/>
            <w:vAlign w:val="center"/>
          </w:tcPr>
          <w:p>
            <w:pPr>
              <w:jc w:val="left"/>
              <w:rPr>
                <w:rFonts w:hint="eastAsia" w:ascii="宋体" w:hAnsi="宋体" w:eastAsia="宋体" w:cs="宋体"/>
                <w:sz w:val="18"/>
                <w:szCs w:val="18"/>
              </w:rPr>
            </w:pPr>
          </w:p>
        </w:tc>
        <w:tc>
          <w:tcPr>
            <w:tcW w:w="847" w:type="dxa"/>
            <w:vMerge w:val="continue"/>
            <w:tcBorders>
              <w:left w:val="single" w:color="auto" w:sz="4" w:space="0"/>
              <w:right w:val="single" w:color="auto" w:sz="4" w:space="0"/>
            </w:tcBorders>
            <w:shd w:val="clear" w:color="auto" w:fill="FFFFFF"/>
            <w:noWrap w:val="0"/>
            <w:vAlign w:val="top"/>
          </w:tcPr>
          <w:p>
            <w:pPr>
              <w:jc w:val="center"/>
              <w:rPr>
                <w:rFonts w:hint="eastAsia" w:ascii="宋体" w:hAnsi="宋体" w:eastAsia="宋体" w:cs="宋体"/>
                <w:sz w:val="18"/>
                <w:szCs w:val="18"/>
              </w:rPr>
            </w:pPr>
          </w:p>
        </w:tc>
      </w:tr>
      <w:tr>
        <w:tblPrEx>
          <w:tblCellMar>
            <w:top w:w="0" w:type="dxa"/>
            <w:left w:w="10" w:type="dxa"/>
            <w:bottom w:w="0" w:type="dxa"/>
            <w:right w:w="10" w:type="dxa"/>
          </w:tblCellMar>
        </w:tblPrEx>
        <w:trPr>
          <w:trHeight w:val="1644" w:hRule="exact"/>
          <w:jc w:val="center"/>
        </w:trPr>
        <w:tc>
          <w:tcPr>
            <w:tcW w:w="452"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440"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634" w:type="dxa"/>
            <w:vMerge w:val="continue"/>
            <w:tcBorders>
              <w:left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398" w:type="dxa"/>
            <w:vMerge w:val="restar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12</w:t>
            </w:r>
          </w:p>
        </w:tc>
        <w:tc>
          <w:tcPr>
            <w:tcW w:w="108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行政效能</w:t>
            </w:r>
          </w:p>
        </w:tc>
        <w:tc>
          <w:tcPr>
            <w:tcW w:w="40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6</w:t>
            </w:r>
          </w:p>
        </w:tc>
        <w:tc>
          <w:tcPr>
            <w:tcW w:w="272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1"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促进部门改进文风会风，加强经费及资产管理，推动网上办事，提高行政效率，降 低行政成本效果较好的计</w:t>
            </w:r>
            <w:r>
              <w:rPr>
                <w:rFonts w:hint="eastAsia" w:ascii="宋体" w:hAnsi="宋体" w:eastAsia="宋体" w:cs="宋体"/>
                <w:b/>
                <w:bCs/>
                <w:color w:val="000000"/>
                <w:spacing w:val="0"/>
                <w:w w:val="100"/>
                <w:position w:val="0"/>
                <w:sz w:val="18"/>
                <w:szCs w:val="18"/>
              </w:rPr>
              <w:t xml:space="preserve">6 </w:t>
            </w:r>
            <w:r>
              <w:rPr>
                <w:rFonts w:hint="eastAsia" w:ascii="宋体" w:hAnsi="宋体" w:eastAsia="宋体" w:cs="宋体"/>
                <w:color w:val="000000"/>
                <w:spacing w:val="0"/>
                <w:w w:val="100"/>
                <w:position w:val="0"/>
                <w:sz w:val="18"/>
                <w:szCs w:val="18"/>
              </w:rPr>
              <w:t>分；一般</w:t>
            </w:r>
            <w:r>
              <w:rPr>
                <w:rFonts w:hint="eastAsia" w:ascii="宋体" w:hAnsi="宋体" w:eastAsia="宋体" w:cs="宋体"/>
                <w:b/>
                <w:bCs/>
                <w:color w:val="000000"/>
                <w:spacing w:val="0"/>
                <w:w w:val="100"/>
                <w:position w:val="0"/>
                <w:sz w:val="18"/>
                <w:szCs w:val="18"/>
              </w:rPr>
              <w:t>3</w:t>
            </w:r>
            <w:r>
              <w:rPr>
                <w:rFonts w:hint="eastAsia" w:ascii="宋体" w:hAnsi="宋体" w:eastAsia="宋体" w:cs="宋体"/>
                <w:color w:val="000000"/>
                <w:spacing w:val="0"/>
                <w:w w:val="100"/>
                <w:position w:val="0"/>
                <w:sz w:val="18"/>
                <w:szCs w:val="18"/>
              </w:rPr>
              <w:t>分；无效果或者 效果不明显</w:t>
            </w:r>
            <w:r>
              <w:rPr>
                <w:rFonts w:hint="eastAsia" w:ascii="宋体" w:hAnsi="宋体" w:eastAsia="宋体" w:cs="宋体"/>
                <w:b/>
                <w:bCs/>
                <w:color w:val="000000"/>
                <w:spacing w:val="0"/>
                <w:w w:val="100"/>
                <w:position w:val="0"/>
                <w:sz w:val="18"/>
                <w:szCs w:val="18"/>
              </w:rPr>
              <w:t>0</w:t>
            </w:r>
            <w:r>
              <w:rPr>
                <w:rFonts w:hint="eastAsia" w:ascii="宋体" w:hAnsi="宋体" w:eastAsia="宋体" w:cs="宋体"/>
                <w:color w:val="000000"/>
                <w:spacing w:val="0"/>
                <w:w w:val="100"/>
                <w:position w:val="0"/>
                <w:sz w:val="18"/>
                <w:szCs w:val="18"/>
              </w:rPr>
              <w:t>分。</w:t>
            </w:r>
          </w:p>
        </w:tc>
        <w:tc>
          <w:tcPr>
            <w:tcW w:w="278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根据部门实际情况评定。</w:t>
            </w:r>
          </w:p>
        </w:tc>
        <w:tc>
          <w:tcPr>
            <w:tcW w:w="847" w:type="dxa"/>
            <w:tcBorders>
              <w:top w:val="single" w:color="auto" w:sz="4" w:space="0"/>
              <w:left w:val="single" w:color="auto" w:sz="4" w:space="0"/>
              <w:right w:val="single" w:color="auto" w:sz="4" w:space="0"/>
            </w:tcBorders>
            <w:shd w:val="clear" w:color="auto" w:fill="FFFFFF"/>
            <w:noWrap w:val="0"/>
            <w:vAlign w:val="top"/>
          </w:tcPr>
          <w:p>
            <w:pPr>
              <w:widowControl w:val="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r>
      <w:tr>
        <w:tblPrEx>
          <w:tblCellMar>
            <w:top w:w="0" w:type="dxa"/>
            <w:left w:w="10" w:type="dxa"/>
            <w:bottom w:w="0" w:type="dxa"/>
            <w:right w:w="10" w:type="dxa"/>
          </w:tblCellMar>
        </w:tblPrEx>
        <w:trPr>
          <w:trHeight w:val="1639" w:hRule="exact"/>
          <w:jc w:val="center"/>
        </w:trPr>
        <w:tc>
          <w:tcPr>
            <w:tcW w:w="452" w:type="dxa"/>
            <w:vMerge w:val="continue"/>
            <w:tcBorders>
              <w:left w:val="single" w:color="auto" w:sz="4" w:space="0"/>
              <w:bottom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440" w:type="dxa"/>
            <w:vMerge w:val="continue"/>
            <w:tcBorders>
              <w:left w:val="single" w:color="auto" w:sz="4" w:space="0"/>
              <w:bottom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634" w:type="dxa"/>
            <w:vMerge w:val="continue"/>
            <w:tcBorders>
              <w:left w:val="single" w:color="auto" w:sz="4" w:space="0"/>
              <w:bottom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398" w:type="dxa"/>
            <w:vMerge w:val="continue"/>
            <w:tcBorders>
              <w:left w:val="single" w:color="auto" w:sz="4" w:space="0"/>
              <w:bottom w:val="single" w:color="auto" w:sz="4" w:space="0"/>
            </w:tcBorders>
            <w:shd w:val="clear" w:color="auto" w:fill="FFFFFF"/>
            <w:noWrap w:val="0"/>
            <w:vAlign w:val="center"/>
          </w:tcPr>
          <w:p>
            <w:pPr>
              <w:jc w:val="center"/>
              <w:rPr>
                <w:rFonts w:hint="eastAsia" w:ascii="宋体" w:hAnsi="宋体" w:eastAsia="宋体" w:cs="宋体"/>
                <w:sz w:val="18"/>
                <w:szCs w:val="18"/>
              </w:rPr>
            </w:pPr>
          </w:p>
        </w:tc>
        <w:tc>
          <w:tcPr>
            <w:tcW w:w="108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社会公众或服务对象满意度</w:t>
            </w:r>
          </w:p>
        </w:tc>
        <w:tc>
          <w:tcPr>
            <w:tcW w:w="408"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6</w:t>
            </w:r>
          </w:p>
        </w:tc>
        <w:tc>
          <w:tcPr>
            <w:tcW w:w="272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7" w:lineRule="exact"/>
              <w:ind w:left="0" w:right="0" w:firstLine="0"/>
              <w:jc w:val="left"/>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 xml:space="preserve">90% </w:t>
            </w:r>
            <w:r>
              <w:rPr>
                <w:rFonts w:hint="eastAsia" w:ascii="宋体" w:hAnsi="宋体" w:eastAsia="宋体" w:cs="宋体"/>
                <w:color w:val="000000"/>
                <w:spacing w:val="0"/>
                <w:w w:val="100"/>
                <w:position w:val="0"/>
                <w:sz w:val="18"/>
                <w:szCs w:val="18"/>
              </w:rPr>
              <w:t>（含）以上计</w:t>
            </w:r>
            <w:r>
              <w:rPr>
                <w:rFonts w:hint="eastAsia" w:ascii="宋体" w:hAnsi="宋体" w:eastAsia="宋体" w:cs="宋体"/>
                <w:b/>
                <w:bCs/>
                <w:color w:val="000000"/>
                <w:spacing w:val="0"/>
                <w:w w:val="100"/>
                <w:position w:val="0"/>
                <w:sz w:val="18"/>
                <w:szCs w:val="18"/>
              </w:rPr>
              <w:t>6</w:t>
            </w:r>
            <w:r>
              <w:rPr>
                <w:rFonts w:hint="eastAsia" w:ascii="宋体" w:hAnsi="宋体" w:eastAsia="宋体" w:cs="宋体"/>
                <w:color w:val="000000"/>
                <w:spacing w:val="0"/>
                <w:w w:val="100"/>
                <w:position w:val="0"/>
                <w:sz w:val="18"/>
                <w:szCs w:val="18"/>
              </w:rPr>
              <w:t>分；</w:t>
            </w:r>
          </w:p>
          <w:p>
            <w:pPr>
              <w:pStyle w:val="6"/>
              <w:keepNext w:val="0"/>
              <w:keepLines w:val="0"/>
              <w:widowControl w:val="0"/>
              <w:shd w:val="clear" w:color="auto" w:fill="auto"/>
              <w:bidi w:val="0"/>
              <w:spacing w:before="0" w:after="0" w:line="317" w:lineRule="exact"/>
              <w:ind w:left="0" w:right="0" w:firstLine="0"/>
              <w:jc w:val="left"/>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 xml:space="preserve">80% </w:t>
            </w:r>
            <w:r>
              <w:rPr>
                <w:rFonts w:hint="eastAsia" w:ascii="宋体" w:hAnsi="宋体" w:eastAsia="宋体" w:cs="宋体"/>
                <w:color w:val="000000"/>
                <w:spacing w:val="0"/>
                <w:w w:val="100"/>
                <w:position w:val="0"/>
                <w:sz w:val="18"/>
                <w:szCs w:val="18"/>
              </w:rPr>
              <w:t>（含）</w:t>
            </w:r>
            <w:r>
              <w:rPr>
                <w:rFonts w:hint="eastAsia" w:ascii="宋体" w:hAnsi="宋体" w:eastAsia="宋体" w:cs="宋体"/>
                <w:b/>
                <w:bCs/>
                <w:color w:val="000000"/>
                <w:spacing w:val="0"/>
                <w:w w:val="100"/>
                <w:position w:val="0"/>
                <w:sz w:val="18"/>
                <w:szCs w:val="18"/>
              </w:rPr>
              <w:t>-90%,</w:t>
            </w:r>
            <w:r>
              <w:rPr>
                <w:rFonts w:hint="eastAsia" w:ascii="宋体" w:hAnsi="宋体" w:eastAsia="宋体" w:cs="宋体"/>
                <w:color w:val="000000"/>
                <w:spacing w:val="0"/>
                <w:w w:val="100"/>
                <w:position w:val="0"/>
                <w:sz w:val="18"/>
                <w:szCs w:val="18"/>
              </w:rPr>
              <w:t xml:space="preserve">计 </w:t>
            </w:r>
            <w:r>
              <w:rPr>
                <w:rFonts w:hint="eastAsia" w:ascii="宋体" w:hAnsi="宋体" w:eastAsia="宋体" w:cs="宋体"/>
                <w:b/>
                <w:bCs/>
                <w:color w:val="000000"/>
                <w:spacing w:val="0"/>
                <w:w w:val="100"/>
                <w:position w:val="0"/>
                <w:sz w:val="18"/>
                <w:szCs w:val="18"/>
              </w:rPr>
              <w:t xml:space="preserve">4 </w:t>
            </w:r>
            <w:r>
              <w:rPr>
                <w:rFonts w:hint="eastAsia" w:ascii="宋体" w:hAnsi="宋体" w:eastAsia="宋体" w:cs="宋体"/>
                <w:color w:val="000000"/>
                <w:spacing w:val="0"/>
                <w:w w:val="100"/>
                <w:position w:val="0"/>
                <w:sz w:val="18"/>
                <w:szCs w:val="18"/>
              </w:rPr>
              <w:t>分；</w:t>
            </w:r>
          </w:p>
          <w:p>
            <w:pPr>
              <w:pStyle w:val="6"/>
              <w:keepNext w:val="0"/>
              <w:keepLines w:val="0"/>
              <w:widowControl w:val="0"/>
              <w:shd w:val="clear" w:color="auto" w:fill="auto"/>
              <w:bidi w:val="0"/>
              <w:spacing w:before="0" w:after="0" w:line="317" w:lineRule="exact"/>
              <w:ind w:left="0" w:right="0" w:firstLine="0"/>
              <w:jc w:val="left"/>
              <w:rPr>
                <w:rFonts w:hint="eastAsia" w:cs="宋体"/>
                <w:color w:val="000000"/>
                <w:spacing w:val="0"/>
                <w:w w:val="100"/>
                <w:position w:val="0"/>
                <w:sz w:val="18"/>
                <w:szCs w:val="18"/>
                <w:lang w:val="en-US" w:eastAsia="zh-CN"/>
              </w:rPr>
            </w:pPr>
            <w:r>
              <w:rPr>
                <w:rFonts w:hint="eastAsia" w:ascii="宋体" w:hAnsi="宋体" w:eastAsia="宋体" w:cs="宋体"/>
                <w:b/>
                <w:bCs/>
                <w:color w:val="000000"/>
                <w:spacing w:val="0"/>
                <w:w w:val="100"/>
                <w:position w:val="0"/>
                <w:sz w:val="18"/>
                <w:szCs w:val="18"/>
              </w:rPr>
              <w:t xml:space="preserve">70% </w:t>
            </w:r>
            <w:r>
              <w:rPr>
                <w:rFonts w:hint="eastAsia" w:ascii="宋体" w:hAnsi="宋体" w:eastAsia="宋体" w:cs="宋体"/>
                <w:color w:val="000000"/>
                <w:spacing w:val="0"/>
                <w:w w:val="100"/>
                <w:position w:val="0"/>
                <w:sz w:val="18"/>
                <w:szCs w:val="18"/>
              </w:rPr>
              <w:t>（含）</w:t>
            </w:r>
            <w:r>
              <w:rPr>
                <w:rFonts w:hint="eastAsia" w:ascii="宋体" w:hAnsi="宋体" w:eastAsia="宋体" w:cs="宋体"/>
                <w:b/>
                <w:bCs/>
                <w:color w:val="000000"/>
                <w:spacing w:val="0"/>
                <w:w w:val="100"/>
                <w:position w:val="0"/>
                <w:sz w:val="18"/>
                <w:szCs w:val="18"/>
              </w:rPr>
              <w:t>-80%,</w:t>
            </w:r>
            <w:r>
              <w:rPr>
                <w:rFonts w:hint="eastAsia" w:ascii="宋体" w:hAnsi="宋体" w:eastAsia="宋体" w:cs="宋体"/>
                <w:color w:val="000000"/>
                <w:spacing w:val="0"/>
                <w:w w:val="100"/>
                <w:position w:val="0"/>
                <w:sz w:val="18"/>
                <w:szCs w:val="18"/>
              </w:rPr>
              <w:t xml:space="preserve">计 </w:t>
            </w:r>
            <w:r>
              <w:rPr>
                <w:rFonts w:hint="eastAsia" w:ascii="宋体" w:hAnsi="宋体" w:eastAsia="宋体" w:cs="宋体"/>
                <w:b/>
                <w:bCs/>
                <w:color w:val="000000"/>
                <w:spacing w:val="0"/>
                <w:w w:val="100"/>
                <w:position w:val="0"/>
                <w:sz w:val="18"/>
                <w:szCs w:val="18"/>
              </w:rPr>
              <w:t xml:space="preserve">2 </w:t>
            </w:r>
            <w:r>
              <w:rPr>
                <w:rFonts w:hint="eastAsia" w:ascii="宋体" w:hAnsi="宋体" w:eastAsia="宋体" w:cs="宋体"/>
                <w:color w:val="000000"/>
                <w:spacing w:val="0"/>
                <w:w w:val="100"/>
                <w:position w:val="0"/>
                <w:sz w:val="18"/>
                <w:szCs w:val="18"/>
              </w:rPr>
              <w:t>分；</w:t>
            </w:r>
            <w:r>
              <w:rPr>
                <w:rFonts w:hint="eastAsia" w:cs="宋体"/>
                <w:color w:val="000000"/>
                <w:spacing w:val="0"/>
                <w:w w:val="100"/>
                <w:position w:val="0"/>
                <w:sz w:val="18"/>
                <w:szCs w:val="18"/>
                <w:lang w:val="en-US" w:eastAsia="zh-CN"/>
              </w:rPr>
              <w:t xml:space="preserve"> </w:t>
            </w:r>
          </w:p>
          <w:p>
            <w:pPr>
              <w:pStyle w:val="6"/>
              <w:keepNext w:val="0"/>
              <w:keepLines w:val="0"/>
              <w:widowControl w:val="0"/>
              <w:shd w:val="clear" w:color="auto" w:fill="auto"/>
              <w:bidi w:val="0"/>
              <w:spacing w:before="0" w:after="0" w:line="317"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低于</w:t>
            </w:r>
            <w:r>
              <w:rPr>
                <w:rFonts w:hint="eastAsia" w:ascii="宋体" w:hAnsi="宋体" w:eastAsia="宋体" w:cs="宋体"/>
                <w:b/>
                <w:bCs/>
                <w:color w:val="000000"/>
                <w:spacing w:val="0"/>
                <w:w w:val="100"/>
                <w:position w:val="0"/>
                <w:sz w:val="18"/>
                <w:szCs w:val="18"/>
              </w:rPr>
              <w:t>70%</w:t>
            </w:r>
            <w:r>
              <w:rPr>
                <w:rFonts w:hint="eastAsia" w:ascii="宋体" w:hAnsi="宋体" w:eastAsia="宋体" w:cs="宋体"/>
                <w:color w:val="000000"/>
                <w:spacing w:val="0"/>
                <w:w w:val="100"/>
                <w:position w:val="0"/>
                <w:sz w:val="18"/>
                <w:szCs w:val="18"/>
              </w:rPr>
              <w:t>计</w:t>
            </w:r>
            <w:r>
              <w:rPr>
                <w:rFonts w:hint="eastAsia" w:ascii="宋体" w:hAnsi="宋体" w:eastAsia="宋体" w:cs="宋体"/>
                <w:b/>
                <w:bCs/>
                <w:color w:val="000000"/>
                <w:spacing w:val="0"/>
                <w:w w:val="100"/>
                <w:position w:val="0"/>
                <w:sz w:val="18"/>
                <w:szCs w:val="18"/>
              </w:rPr>
              <w:t>0</w:t>
            </w:r>
            <w:r>
              <w:rPr>
                <w:rFonts w:hint="eastAsia" w:ascii="宋体" w:hAnsi="宋体" w:eastAsia="宋体" w:cs="宋体"/>
                <w:color w:val="000000"/>
                <w:spacing w:val="0"/>
                <w:w w:val="100"/>
                <w:position w:val="0"/>
                <w:sz w:val="18"/>
                <w:szCs w:val="18"/>
              </w:rPr>
              <w:t>分。</w:t>
            </w:r>
          </w:p>
        </w:tc>
        <w:tc>
          <w:tcPr>
            <w:tcW w:w="278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314"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社会公众或服务对象是指部门（单位）履行职责而影响到的部门、群体或个人，一般采取社会 调查的方式。</w:t>
            </w:r>
          </w:p>
        </w:tc>
        <w:tc>
          <w:tcPr>
            <w:tcW w:w="8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w:t>
            </w:r>
          </w:p>
        </w:tc>
      </w:tr>
    </w:tbl>
    <w:p>
      <w:pPr>
        <w:pStyle w:val="5"/>
        <w:keepNext w:val="0"/>
        <w:keepLines w:val="0"/>
        <w:widowControl w:val="0"/>
        <w:shd w:val="clear" w:color="auto" w:fill="auto"/>
        <w:bidi w:val="0"/>
        <w:spacing w:after="420" w:line="240" w:lineRule="auto"/>
        <w:ind w:left="0" w:leftChars="0" w:right="0" w:firstLine="0" w:firstLineChars="0"/>
        <w:jc w:val="center"/>
        <w:rPr>
          <w:rFonts w:hint="eastAsia" w:ascii="宋体" w:hAnsi="宋体" w:eastAsia="宋体" w:cs="宋体"/>
          <w:sz w:val="18"/>
          <w:szCs w:val="18"/>
        </w:rPr>
      </w:pPr>
      <w:r>
        <w:rPr>
          <w:rFonts w:hint="eastAsia" w:ascii="宋体" w:hAnsi="宋体" w:eastAsia="宋体" w:cs="宋体"/>
          <w:sz w:val="18"/>
          <w:szCs w:val="18"/>
        </w:rPr>
        <w:br w:type="page"/>
      </w:r>
    </w:p>
    <w:p>
      <w:pPr>
        <w:spacing w:line="1" w:lineRule="exact"/>
        <w:jc w:val="center"/>
        <w:rPr>
          <w:rFonts w:hint="eastAsia" w:ascii="宋体" w:hAnsi="宋体" w:eastAsia="宋体" w:cs="宋体"/>
          <w:sz w:val="18"/>
          <w:szCs w:val="18"/>
          <w:lang w:eastAsia="zh-CN"/>
        </w:rPr>
      </w:pPr>
    </w:p>
    <w:p>
      <w:pPr>
        <w:spacing w:line="1" w:lineRule="exact"/>
        <w:jc w:val="center"/>
        <w:rPr>
          <w:rFonts w:hint="eastAsia" w:ascii="宋体" w:hAnsi="宋体" w:eastAsia="宋体" w:cs="宋体"/>
          <w:sz w:val="18"/>
          <w:szCs w:val="18"/>
          <w:lang w:eastAsia="zh-CN"/>
        </w:rPr>
      </w:pPr>
    </w:p>
    <w:p>
      <w:pPr>
        <w:spacing w:line="1" w:lineRule="exact"/>
        <w:jc w:val="center"/>
        <w:rPr>
          <w:rFonts w:hint="eastAsia" w:ascii="宋体" w:hAnsi="宋体" w:eastAsia="宋体" w:cs="宋体"/>
          <w:sz w:val="18"/>
          <w:szCs w:val="18"/>
          <w:lang w:eastAsia="zh-CN"/>
        </w:rPr>
      </w:pPr>
    </w:p>
    <w:p>
      <w:pPr>
        <w:spacing w:line="1" w:lineRule="exact"/>
        <w:jc w:val="center"/>
        <w:rPr>
          <w:rFonts w:hint="eastAsia" w:ascii="宋体" w:hAnsi="宋体" w:eastAsia="宋体" w:cs="宋体"/>
          <w:sz w:val="18"/>
          <w:szCs w:val="18"/>
          <w:lang w:eastAsia="zh-CN"/>
        </w:rPr>
      </w:pPr>
    </w:p>
    <w:p>
      <w:pPr>
        <w:spacing w:line="1" w:lineRule="exact"/>
        <w:jc w:val="center"/>
        <w:rPr>
          <w:rFonts w:hint="eastAsia" w:ascii="宋体" w:hAnsi="宋体" w:eastAsia="宋体" w:cs="宋体"/>
          <w:sz w:val="18"/>
          <w:szCs w:val="18"/>
          <w:lang w:eastAsia="zh-CN"/>
        </w:rPr>
      </w:pPr>
    </w:p>
    <w:p>
      <w:pPr>
        <w:spacing w:line="1" w:lineRule="exact"/>
        <w:jc w:val="center"/>
        <w:rPr>
          <w:rFonts w:hint="eastAsia" w:ascii="宋体" w:hAnsi="宋体" w:eastAsia="宋体" w:cs="宋体"/>
          <w:sz w:val="18"/>
          <w:szCs w:val="18"/>
          <w:lang w:eastAsia="zh-CN"/>
        </w:rPr>
      </w:pPr>
    </w:p>
    <w:p>
      <w:pPr>
        <w:spacing w:line="1" w:lineRule="exact"/>
        <w:jc w:val="center"/>
        <w:rPr>
          <w:rFonts w:hint="eastAsia" w:ascii="宋体" w:hAnsi="宋体" w:eastAsia="宋体" w:cs="宋体"/>
          <w:sz w:val="18"/>
          <w:szCs w:val="18"/>
          <w:lang w:eastAsia="zh-CN"/>
        </w:rPr>
      </w:pPr>
    </w:p>
    <w:p>
      <w:pPr>
        <w:spacing w:line="1" w:lineRule="exact"/>
        <w:jc w:val="center"/>
        <w:rPr>
          <w:rFonts w:hint="eastAsia" w:ascii="宋体" w:hAnsi="宋体" w:eastAsia="宋体" w:cs="宋体"/>
          <w:sz w:val="18"/>
          <w:szCs w:val="18"/>
          <w:lang w:eastAsia="zh-CN"/>
        </w:rPr>
      </w:pPr>
    </w:p>
    <w:p/>
    <w:p>
      <w:pPr>
        <w:pStyle w:val="7"/>
        <w:keepNext/>
        <w:keepLines/>
        <w:pageBreakBefore w:val="0"/>
        <w:widowControl w:val="0"/>
        <w:shd w:val="clear" w:color="auto" w:fill="auto"/>
        <w:kinsoku/>
        <w:wordWrap/>
        <w:overflowPunct/>
        <w:topLinePunct w:val="0"/>
        <w:autoSpaceDE/>
        <w:autoSpaceDN/>
        <w:bidi w:val="0"/>
        <w:adjustRightInd/>
        <w:snapToGrid/>
        <w:spacing w:before="0" w:after="260" w:line="560" w:lineRule="exact"/>
        <w:ind w:left="0" w:right="0" w:firstLine="723" w:firstLineChars="200"/>
        <w:jc w:val="center"/>
        <w:textAlignment w:val="auto"/>
        <w:rPr>
          <w:rFonts w:hint="eastAsia" w:ascii="华文中宋" w:hAnsi="华文中宋" w:eastAsia="华文中宋" w:cs="华文中宋"/>
          <w:b/>
          <w:bCs/>
          <w:color w:val="000000"/>
          <w:spacing w:val="0"/>
          <w:w w:val="100"/>
          <w:position w:val="0"/>
          <w:sz w:val="36"/>
          <w:szCs w:val="36"/>
          <w:u w:val="none"/>
          <w:shd w:val="clear" w:color="auto" w:fill="auto"/>
          <w:lang w:val="en-US" w:eastAsia="zh-CN" w:bidi="zh-CN"/>
        </w:rPr>
      </w:pPr>
      <w:bookmarkStart w:id="0" w:name="bookmark89"/>
      <w:bookmarkStart w:id="1" w:name="bookmark90"/>
      <w:bookmarkStart w:id="2" w:name="bookmark88"/>
      <w:r>
        <w:rPr>
          <w:rFonts w:hint="eastAsia" w:ascii="华文中宋" w:hAnsi="华文中宋" w:eastAsia="华文中宋" w:cs="华文中宋"/>
          <w:b/>
          <w:bCs/>
          <w:color w:val="000000"/>
          <w:spacing w:val="0"/>
          <w:w w:val="100"/>
          <w:position w:val="0"/>
          <w:sz w:val="36"/>
          <w:szCs w:val="36"/>
          <w:u w:val="none"/>
          <w:shd w:val="clear" w:color="auto" w:fill="auto"/>
          <w:lang w:val="en-US" w:eastAsia="zh-CN" w:bidi="zh-CN"/>
        </w:rPr>
        <w:t>苗圃街道部门整体支出绩效报告</w:t>
      </w:r>
      <w:bookmarkEnd w:id="0"/>
      <w:bookmarkEnd w:id="1"/>
      <w:bookmarkEnd w:id="2"/>
    </w:p>
    <w:p>
      <w:pPr>
        <w:pStyle w:val="7"/>
        <w:keepNext/>
        <w:keepLines/>
        <w:pageBreakBefore w:val="0"/>
        <w:widowControl w:val="0"/>
        <w:shd w:val="clear" w:color="auto" w:fill="auto"/>
        <w:kinsoku/>
        <w:wordWrap/>
        <w:overflowPunct/>
        <w:topLinePunct w:val="0"/>
        <w:autoSpaceDE/>
        <w:autoSpaceDN/>
        <w:bidi w:val="0"/>
        <w:adjustRightInd/>
        <w:snapToGrid/>
        <w:spacing w:before="0" w:after="260" w:line="560" w:lineRule="exact"/>
        <w:ind w:left="0" w:right="0" w:firstLine="723" w:firstLineChars="200"/>
        <w:jc w:val="center"/>
        <w:textAlignment w:val="auto"/>
        <w:rPr>
          <w:rFonts w:hint="eastAsia" w:ascii="华文中宋" w:hAnsi="华文中宋" w:eastAsia="华文中宋" w:cs="华文中宋"/>
          <w:b/>
          <w:bCs/>
          <w:color w:val="000000"/>
          <w:spacing w:val="0"/>
          <w:w w:val="100"/>
          <w:position w:val="0"/>
          <w:sz w:val="36"/>
          <w:szCs w:val="36"/>
          <w:u w:val="none"/>
          <w:shd w:val="clear" w:color="auto" w:fill="auto"/>
          <w:lang w:val="en-US" w:eastAsia="zh-CN" w:bidi="zh-CN"/>
        </w:rPr>
      </w:pPr>
    </w:p>
    <w:p>
      <w:pPr>
        <w:pStyle w:val="7"/>
        <w:keepNext/>
        <w:keepLines/>
        <w:pageBreakBefore w:val="0"/>
        <w:widowControl w:val="0"/>
        <w:shd w:val="clear" w:color="auto" w:fill="auto"/>
        <w:kinsoku/>
        <w:wordWrap/>
        <w:overflowPunct/>
        <w:topLinePunct w:val="0"/>
        <w:autoSpaceDE/>
        <w:autoSpaceDN/>
        <w:bidi w:val="0"/>
        <w:adjustRightInd/>
        <w:snapToGrid/>
        <w:spacing w:before="0" w:after="260" w:line="560" w:lineRule="exact"/>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部门概况</w:t>
      </w:r>
      <w:bookmarkStart w:id="3" w:name="bookmark92"/>
    </w:p>
    <w:p>
      <w:pPr>
        <w:widowControl/>
        <w:spacing w:line="360" w:lineRule="auto"/>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1、主要职能如下</w:t>
      </w:r>
    </w:p>
    <w:p>
      <w:pPr>
        <w:spacing w:line="500" w:lineRule="exact"/>
        <w:ind w:firstLine="643" w:firstLineChars="200"/>
        <w:rPr>
          <w:rFonts w:ascii="仿宋" w:hAnsi="仿宋" w:eastAsia="仿宋"/>
          <w:sz w:val="32"/>
          <w:szCs w:val="32"/>
        </w:rPr>
      </w:pPr>
      <w:r>
        <w:rPr>
          <w:rFonts w:hint="eastAsia" w:ascii="仿宋" w:hAnsi="仿宋" w:eastAsia="仿宋"/>
          <w:b/>
          <w:sz w:val="32"/>
          <w:szCs w:val="32"/>
        </w:rPr>
        <w:t>（一）加强党的建设。</w:t>
      </w:r>
      <w:r>
        <w:rPr>
          <w:rFonts w:hint="eastAsia" w:ascii="仿宋" w:hAnsi="仿宋" w:eastAsia="仿宋"/>
          <w:sz w:val="32"/>
          <w:szCs w:val="32"/>
        </w:rPr>
        <w:t>宣传、贯彻、执行党的路线、方针、政策和上级党委、政府的指示、决议；加强党的自身建设，领导街道的思想政治工作、精神文明建设。</w:t>
      </w:r>
    </w:p>
    <w:p>
      <w:pPr>
        <w:spacing w:line="500" w:lineRule="exact"/>
        <w:ind w:firstLine="643" w:firstLineChars="200"/>
        <w:rPr>
          <w:rFonts w:ascii="仿宋" w:hAnsi="仿宋" w:eastAsia="仿宋"/>
          <w:sz w:val="32"/>
          <w:szCs w:val="32"/>
        </w:rPr>
      </w:pPr>
      <w:r>
        <w:rPr>
          <w:rFonts w:hint="eastAsia" w:ascii="仿宋" w:hAnsi="仿宋" w:eastAsia="仿宋"/>
          <w:b/>
          <w:sz w:val="32"/>
          <w:szCs w:val="32"/>
        </w:rPr>
        <w:t>（二）统筹区域发展。</w:t>
      </w:r>
      <w:r>
        <w:rPr>
          <w:rFonts w:hint="eastAsia" w:ascii="仿宋" w:hAnsi="仿宋" w:eastAsia="仿宋"/>
          <w:sz w:val="32"/>
          <w:szCs w:val="32"/>
        </w:rPr>
        <w:t>领导街道的经济、城市管理、服务等工作，对有关的重大问题做出决策；按照党的干部政策和管理权限，决定干部的任务和奖惩；支持办事处行政领导依法行使职权，独立负责地开展工作；领导工会、共青团、妇联等群众组织。</w:t>
      </w:r>
    </w:p>
    <w:p>
      <w:pPr>
        <w:spacing w:line="500" w:lineRule="exact"/>
        <w:ind w:firstLine="643" w:firstLineChars="200"/>
        <w:rPr>
          <w:rFonts w:ascii="仿宋" w:hAnsi="仿宋" w:eastAsia="仿宋"/>
          <w:sz w:val="32"/>
          <w:szCs w:val="32"/>
        </w:rPr>
      </w:pPr>
      <w:r>
        <w:rPr>
          <w:rFonts w:hint="eastAsia" w:ascii="仿宋" w:hAnsi="仿宋" w:eastAsia="仿宋"/>
          <w:b/>
          <w:sz w:val="32"/>
          <w:szCs w:val="32"/>
        </w:rPr>
        <w:t>（三）实施公共管理。</w:t>
      </w:r>
      <w:r>
        <w:rPr>
          <w:rFonts w:hint="eastAsia" w:ascii="仿宋" w:hAnsi="仿宋" w:eastAsia="仿宋"/>
          <w:sz w:val="32"/>
          <w:szCs w:val="32"/>
        </w:rPr>
        <w:t>督促、检查和协调本辖区内各单位承担的计划生育服务、社会治安、城管卫生等有关地区性、社会性工作。</w:t>
      </w:r>
    </w:p>
    <w:p>
      <w:pPr>
        <w:spacing w:line="500" w:lineRule="exact"/>
        <w:ind w:firstLine="643" w:firstLineChars="200"/>
        <w:rPr>
          <w:rFonts w:ascii="仿宋" w:hAnsi="仿宋" w:eastAsia="仿宋"/>
          <w:sz w:val="32"/>
          <w:szCs w:val="32"/>
        </w:rPr>
      </w:pPr>
      <w:r>
        <w:rPr>
          <w:rFonts w:hint="eastAsia" w:ascii="仿宋" w:hAnsi="仿宋" w:eastAsia="仿宋"/>
          <w:b/>
          <w:sz w:val="32"/>
          <w:szCs w:val="32"/>
        </w:rPr>
        <w:t>（四）维护公共安全。</w:t>
      </w:r>
      <w:r>
        <w:rPr>
          <w:rFonts w:hint="eastAsia" w:ascii="仿宋" w:hAnsi="仿宋" w:eastAsia="仿宋"/>
          <w:sz w:val="32"/>
          <w:szCs w:val="32"/>
        </w:rPr>
        <w:t>搞好精神文明建设，加强城市管理和社区治安综合治理，依法对本行政区域内的其他各项工作实施行政管理，组织好人民生活。</w:t>
      </w:r>
    </w:p>
    <w:p>
      <w:pPr>
        <w:spacing w:line="500" w:lineRule="exact"/>
        <w:ind w:firstLine="643" w:firstLineChars="200"/>
        <w:rPr>
          <w:rFonts w:ascii="仿宋" w:hAnsi="仿宋" w:eastAsia="仿宋"/>
          <w:sz w:val="32"/>
          <w:szCs w:val="32"/>
        </w:rPr>
      </w:pPr>
      <w:r>
        <w:rPr>
          <w:rFonts w:hint="eastAsia" w:ascii="仿宋" w:hAnsi="仿宋" w:eastAsia="仿宋"/>
          <w:b/>
          <w:sz w:val="32"/>
          <w:szCs w:val="32"/>
        </w:rPr>
        <w:t>（五）组织公共服务。</w:t>
      </w:r>
      <w:r>
        <w:rPr>
          <w:rFonts w:hint="eastAsia" w:ascii="仿宋" w:hAnsi="仿宋" w:eastAsia="仿宋"/>
          <w:sz w:val="32"/>
          <w:szCs w:val="32"/>
        </w:rPr>
        <w:t>在街道党委的领导下坚持以经济建设为中心，大力发展街道经济；依法开展民政、社会保障、文化旅游、科技、教育、卫生健康、民族宗教、退役军人等公益性事务服务工作。</w:t>
      </w:r>
    </w:p>
    <w:p>
      <w:pPr>
        <w:spacing w:line="500" w:lineRule="exact"/>
        <w:ind w:firstLine="643" w:firstLineChars="200"/>
        <w:rPr>
          <w:rFonts w:ascii="仿宋" w:hAnsi="仿宋" w:eastAsia="仿宋"/>
          <w:b/>
          <w:bCs w:val="0"/>
          <w:sz w:val="32"/>
          <w:szCs w:val="32"/>
        </w:rPr>
      </w:pPr>
      <w:r>
        <w:rPr>
          <w:rFonts w:hint="eastAsia" w:ascii="仿宋" w:hAnsi="仿宋" w:eastAsia="仿宋"/>
          <w:b/>
          <w:bCs w:val="0"/>
          <w:sz w:val="32"/>
          <w:szCs w:val="32"/>
        </w:rPr>
        <w:t>（六）贯彻执行相关法律法规，落实党和国家的方针、政策，承担上级交办的其他任务。</w:t>
      </w:r>
    </w:p>
    <w:p>
      <w:pPr>
        <w:pStyle w:val="8"/>
        <w:tabs>
          <w:tab w:val="left" w:pos="1113"/>
        </w:tabs>
        <w:spacing w:line="360" w:lineRule="auto"/>
        <w:ind w:firstLine="643" w:firstLineChars="200"/>
        <w:rPr>
          <w:rFonts w:ascii="仿宋" w:hAnsi="仿宋" w:eastAsia="仿宋" w:cs="仿宋"/>
          <w:b/>
          <w:bCs/>
          <w:color w:val="000000"/>
          <w:sz w:val="32"/>
          <w:szCs w:val="32"/>
        </w:rPr>
      </w:pPr>
      <w:r>
        <w:rPr>
          <w:rFonts w:hint="eastAsia" w:ascii="仿宋" w:hAnsi="仿宋" w:eastAsia="仿宋" w:cs="仿宋"/>
          <w:b/>
          <w:bCs/>
          <w:color w:val="000000"/>
          <w:sz w:val="32"/>
          <w:szCs w:val="32"/>
          <w:lang w:val="en-US"/>
        </w:rPr>
        <w:t>2、</w:t>
      </w:r>
      <w:r>
        <w:rPr>
          <w:rFonts w:hint="eastAsia" w:ascii="仿宋" w:hAnsi="仿宋" w:eastAsia="仿宋" w:cs="仿宋"/>
          <w:b/>
          <w:bCs/>
          <w:color w:val="000000"/>
          <w:sz w:val="32"/>
          <w:szCs w:val="32"/>
        </w:rPr>
        <w:t>机构设置</w:t>
      </w:r>
    </w:p>
    <w:p>
      <w:pPr>
        <w:spacing w:line="500" w:lineRule="exact"/>
        <w:ind w:firstLine="640" w:firstLineChars="200"/>
        <w:rPr>
          <w:rFonts w:eastAsia="仿宋_GB2312"/>
          <w:bCs/>
          <w:kern w:val="0"/>
          <w:sz w:val="32"/>
          <w:szCs w:val="32"/>
        </w:rPr>
      </w:pPr>
      <w:r>
        <w:rPr>
          <w:rFonts w:hint="eastAsia" w:ascii="仿宋" w:hAnsi="仿宋" w:eastAsia="仿宋" w:cs="仿宋"/>
          <w:color w:val="000000"/>
          <w:sz w:val="32"/>
          <w:szCs w:val="32"/>
        </w:rPr>
        <w:t>苗圃街道</w:t>
      </w:r>
      <w:r>
        <w:rPr>
          <w:rFonts w:eastAsia="仿宋_GB2312"/>
          <w:bCs/>
          <w:kern w:val="0"/>
          <w:sz w:val="32"/>
          <w:szCs w:val="32"/>
        </w:rPr>
        <w:t>单位内设机构</w:t>
      </w:r>
      <w:r>
        <w:rPr>
          <w:rFonts w:hint="eastAsia" w:eastAsia="仿宋_GB2312"/>
          <w:bCs/>
          <w:kern w:val="0"/>
          <w:sz w:val="32"/>
          <w:szCs w:val="32"/>
          <w:lang w:eastAsia="zh-CN"/>
        </w:rPr>
        <w:t>“四办二中心一大队”，</w:t>
      </w:r>
      <w:r>
        <w:rPr>
          <w:rFonts w:hint="eastAsia" w:eastAsia="仿宋_GB2312"/>
          <w:bCs/>
          <w:kern w:val="0"/>
          <w:sz w:val="32"/>
          <w:szCs w:val="32"/>
        </w:rPr>
        <w:t>下设八个居委会。</w:t>
      </w:r>
    </w:p>
    <w:p>
      <w:pPr>
        <w:pStyle w:val="8"/>
        <w:tabs>
          <w:tab w:val="left" w:pos="1101"/>
        </w:tabs>
        <w:spacing w:line="360" w:lineRule="auto"/>
        <w:ind w:firstLine="640" w:firstLineChars="200"/>
        <w:rPr>
          <w:rFonts w:ascii="仿宋" w:hAnsi="仿宋" w:eastAsia="仿宋" w:cs="仿宋"/>
          <w:color w:val="000000"/>
          <w:sz w:val="32"/>
          <w:szCs w:val="32"/>
          <w:lang w:val="en-US"/>
        </w:rPr>
      </w:pPr>
      <w:r>
        <w:rPr>
          <w:rFonts w:hint="eastAsia" w:ascii="仿宋" w:hAnsi="仿宋" w:eastAsia="仿宋" w:cs="仿宋"/>
          <w:color w:val="000000"/>
          <w:sz w:val="32"/>
          <w:szCs w:val="32"/>
          <w:lang w:val="en-US"/>
        </w:rPr>
        <w:t>3、</w:t>
      </w:r>
      <w:r>
        <w:rPr>
          <w:rFonts w:ascii="Times New Roman" w:hAnsi="Times New Roman" w:eastAsia="仿宋_GB2312" w:cs="Times New Roman"/>
          <w:b/>
          <w:sz w:val="32"/>
          <w:szCs w:val="32"/>
        </w:rPr>
        <w:t>人员情况</w:t>
      </w:r>
    </w:p>
    <w:p>
      <w:pPr>
        <w:pStyle w:val="8"/>
        <w:tabs>
          <w:tab w:val="left" w:pos="1101"/>
        </w:tabs>
        <w:spacing w:line="360" w:lineRule="auto"/>
        <w:ind w:firstLine="640" w:firstLineChars="200"/>
        <w:rPr>
          <w:rFonts w:ascii="仿宋" w:hAnsi="仿宋" w:eastAsia="仿宋" w:cs="仿宋"/>
          <w:color w:val="000000"/>
          <w:sz w:val="32"/>
          <w:szCs w:val="32"/>
          <w:lang w:val="en-US"/>
        </w:rPr>
      </w:pPr>
      <w:r>
        <w:rPr>
          <w:rFonts w:hint="eastAsia" w:ascii="仿宋" w:hAnsi="仿宋" w:eastAsia="仿宋" w:cs="仿宋"/>
          <w:color w:val="000000"/>
          <w:sz w:val="32"/>
          <w:szCs w:val="32"/>
          <w:lang w:val="en-US"/>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val="en-US"/>
        </w:rPr>
        <w:t>年，珠晖区苗圃街道在职人员共</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lang w:val="en-US"/>
        </w:rPr>
        <w:t>人，其中，行政编人员</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lang w:val="en-US"/>
        </w:rPr>
        <w:t>人，事业编人员</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lang w:val="en-US"/>
        </w:rPr>
        <w:t>人。另长期聘用人员</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lang w:val="en-US"/>
        </w:rPr>
        <w:t>人。</w:t>
      </w:r>
    </w:p>
    <w:bookmarkEnd w:id="3"/>
    <w:p>
      <w:pPr>
        <w:pStyle w:val="8"/>
        <w:keepNext w:val="0"/>
        <w:keepLines w:val="0"/>
        <w:pageBreakBefore w:val="0"/>
        <w:widowControl w:val="0"/>
        <w:shd w:val="clear" w:color="auto" w:fill="auto"/>
        <w:tabs>
          <w:tab w:val="left" w:pos="1101"/>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sz w:val="32"/>
          <w:szCs w:val="32"/>
        </w:rPr>
      </w:pPr>
    </w:p>
    <w:p>
      <w:pPr>
        <w:pStyle w:val="8"/>
        <w:keepNext w:val="0"/>
        <w:keepLines w:val="0"/>
        <w:pageBreakBefore w:val="0"/>
        <w:widowControl w:val="0"/>
        <w:shd w:val="clear" w:color="auto" w:fill="auto"/>
        <w:tabs>
          <w:tab w:val="left" w:pos="867"/>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仿宋_GB2312" w:hAnsi="仿宋_GB2312" w:eastAsia="仿宋_GB2312" w:cs="仿宋_GB2312"/>
          <w:b/>
          <w:bCs/>
          <w:sz w:val="32"/>
          <w:szCs w:val="32"/>
        </w:rPr>
      </w:pPr>
      <w:bookmarkStart w:id="4" w:name="bookmark94"/>
      <w:r>
        <w:rPr>
          <w:rFonts w:hint="eastAsia" w:ascii="仿宋_GB2312" w:hAnsi="仿宋_GB2312" w:eastAsia="仿宋_GB2312" w:cs="仿宋_GB2312"/>
          <w:b/>
          <w:bCs/>
          <w:color w:val="000000"/>
          <w:spacing w:val="0"/>
          <w:w w:val="100"/>
          <w:position w:val="0"/>
          <w:sz w:val="32"/>
          <w:szCs w:val="32"/>
        </w:rPr>
        <w:t>二</w:t>
      </w:r>
      <w:bookmarkEnd w:id="4"/>
      <w:r>
        <w:rPr>
          <w:rFonts w:hint="eastAsia" w:ascii="仿宋_GB2312" w:hAnsi="仿宋_GB2312" w:eastAsia="仿宋_GB2312" w:cs="仿宋_GB2312"/>
          <w:b/>
          <w:bCs/>
          <w:color w:val="000000"/>
          <w:spacing w:val="0"/>
          <w:w w:val="100"/>
          <w:position w:val="0"/>
          <w:sz w:val="32"/>
          <w:szCs w:val="32"/>
        </w:rPr>
        <w:t>、部门整体支出管理及使用情况</w:t>
      </w:r>
    </w:p>
    <w:p>
      <w:pPr>
        <w:pStyle w:val="8"/>
        <w:tabs>
          <w:tab w:val="left" w:pos="1111"/>
        </w:tabs>
        <w:spacing w:line="360" w:lineRule="auto"/>
        <w:ind w:firstLine="643" w:firstLineChars="200"/>
        <w:jc w:val="left"/>
        <w:rPr>
          <w:rFonts w:ascii="仿宋" w:hAnsi="仿宋" w:eastAsia="仿宋" w:cs="仿宋"/>
          <w:b/>
          <w:bCs/>
          <w:sz w:val="32"/>
          <w:szCs w:val="32"/>
        </w:rPr>
      </w:pPr>
      <w:bookmarkStart w:id="5" w:name="bookmark95"/>
      <w:r>
        <w:rPr>
          <w:rFonts w:hint="eastAsia" w:ascii="仿宋" w:hAnsi="仿宋" w:eastAsia="仿宋" w:cs="仿宋"/>
          <w:b/>
          <w:bCs/>
          <w:color w:val="000000"/>
          <w:sz w:val="32"/>
          <w:szCs w:val="32"/>
          <w:lang w:val="en-US"/>
        </w:rPr>
        <w:t>1、</w:t>
      </w:r>
      <w:r>
        <w:rPr>
          <w:rFonts w:hint="eastAsia" w:ascii="仿宋" w:hAnsi="仿宋" w:eastAsia="仿宋" w:cs="仿宋"/>
          <w:b/>
          <w:bCs/>
          <w:color w:val="000000"/>
          <w:sz w:val="32"/>
          <w:szCs w:val="32"/>
        </w:rPr>
        <w:t>基本支出</w:t>
      </w:r>
    </w:p>
    <w:p>
      <w:pPr>
        <w:ind w:firstLine="645"/>
        <w:rPr>
          <w:rFonts w:ascii="仿宋" w:hAnsi="仿宋" w:eastAsia="仿宋" w:cs="仿宋_GB2312"/>
          <w:color w:val="333333"/>
          <w:kern w:val="0"/>
          <w:sz w:val="32"/>
          <w:szCs w:val="32"/>
        </w:rPr>
      </w:pPr>
      <w:r>
        <w:rPr>
          <w:rFonts w:hint="eastAsia" w:ascii="仿宋" w:hAnsi="仿宋" w:eastAsia="仿宋" w:cs="仿宋_GB2312"/>
          <w:color w:val="333333"/>
          <w:kern w:val="0"/>
          <w:sz w:val="32"/>
          <w:szCs w:val="32"/>
        </w:rPr>
        <w:t>苗圃街道</w:t>
      </w:r>
      <w:r>
        <w:rPr>
          <w:rFonts w:ascii="仿宋" w:hAnsi="仿宋" w:eastAsia="仿宋" w:cs="仿宋_GB2312"/>
          <w:color w:val="333333"/>
          <w:kern w:val="0"/>
          <w:sz w:val="32"/>
          <w:szCs w:val="32"/>
        </w:rPr>
        <w:t>20</w:t>
      </w:r>
      <w:r>
        <w:rPr>
          <w:rFonts w:hint="eastAsia" w:ascii="仿宋" w:hAnsi="仿宋" w:eastAsia="仿宋" w:cs="仿宋_GB2312"/>
          <w:color w:val="333333"/>
          <w:kern w:val="0"/>
          <w:sz w:val="32"/>
          <w:szCs w:val="32"/>
        </w:rPr>
        <w:t>2</w:t>
      </w:r>
      <w:r>
        <w:rPr>
          <w:rFonts w:hint="eastAsia" w:ascii="仿宋" w:hAnsi="仿宋" w:eastAsia="仿宋" w:cs="仿宋_GB2312"/>
          <w:color w:val="333333"/>
          <w:kern w:val="0"/>
          <w:sz w:val="32"/>
          <w:szCs w:val="32"/>
          <w:lang w:val="en-US" w:eastAsia="zh-CN"/>
        </w:rPr>
        <w:t>1</w:t>
      </w:r>
      <w:r>
        <w:rPr>
          <w:rFonts w:ascii="仿宋" w:hAnsi="仿宋" w:eastAsia="仿宋" w:cs="仿宋_GB2312"/>
          <w:color w:val="333333"/>
          <w:kern w:val="0"/>
          <w:sz w:val="32"/>
          <w:szCs w:val="32"/>
        </w:rPr>
        <w:t>度收入总计</w:t>
      </w:r>
      <w:r>
        <w:rPr>
          <w:rFonts w:hint="eastAsia" w:ascii="仿宋" w:hAnsi="仿宋" w:eastAsia="仿宋" w:cs="仿宋_GB2312"/>
          <w:color w:val="333333"/>
          <w:kern w:val="0"/>
          <w:sz w:val="32"/>
          <w:szCs w:val="32"/>
          <w:lang w:val="en-US" w:eastAsia="zh-CN"/>
        </w:rPr>
        <w:t>524.82</w:t>
      </w:r>
      <w:r>
        <w:rPr>
          <w:rFonts w:ascii="仿宋" w:hAnsi="仿宋" w:eastAsia="仿宋" w:cs="仿宋_GB2312"/>
          <w:color w:val="333333"/>
          <w:kern w:val="0"/>
          <w:sz w:val="32"/>
          <w:szCs w:val="32"/>
        </w:rPr>
        <w:t>万元，其中财政拨款收入</w:t>
      </w:r>
      <w:r>
        <w:rPr>
          <w:rFonts w:hint="eastAsia" w:ascii="仿宋" w:hAnsi="仿宋" w:eastAsia="仿宋" w:cs="仿宋_GB2312"/>
          <w:color w:val="333333"/>
          <w:kern w:val="0"/>
          <w:sz w:val="32"/>
          <w:szCs w:val="32"/>
          <w:lang w:val="en-US" w:eastAsia="zh-CN"/>
        </w:rPr>
        <w:t>524.82</w:t>
      </w:r>
      <w:r>
        <w:rPr>
          <w:rFonts w:ascii="仿宋" w:hAnsi="仿宋" w:eastAsia="仿宋" w:cs="仿宋_GB2312"/>
          <w:color w:val="333333"/>
          <w:kern w:val="0"/>
          <w:sz w:val="32"/>
          <w:szCs w:val="32"/>
        </w:rPr>
        <w:t>万元，占本年收入</w:t>
      </w:r>
      <w:r>
        <w:rPr>
          <w:rFonts w:hint="eastAsia" w:ascii="仿宋" w:hAnsi="仿宋" w:eastAsia="仿宋" w:cs="仿宋_GB2312"/>
          <w:color w:val="333333"/>
          <w:kern w:val="0"/>
          <w:sz w:val="32"/>
          <w:szCs w:val="32"/>
        </w:rPr>
        <w:t>100</w:t>
      </w:r>
      <w:r>
        <w:rPr>
          <w:rFonts w:ascii="仿宋" w:hAnsi="仿宋" w:eastAsia="仿宋" w:cs="仿宋_GB2312"/>
          <w:color w:val="333333"/>
          <w:kern w:val="0"/>
          <w:sz w:val="32"/>
          <w:szCs w:val="32"/>
        </w:rPr>
        <w:t>%；本年支出总计</w:t>
      </w:r>
      <w:r>
        <w:rPr>
          <w:rFonts w:hint="eastAsia" w:ascii="仿宋" w:hAnsi="仿宋" w:eastAsia="仿宋" w:cs="仿宋_GB2312"/>
          <w:color w:val="333333"/>
          <w:kern w:val="0"/>
          <w:sz w:val="32"/>
          <w:szCs w:val="32"/>
          <w:lang w:val="en-US" w:eastAsia="zh-CN"/>
        </w:rPr>
        <w:t>524.82</w:t>
      </w:r>
      <w:r>
        <w:rPr>
          <w:rFonts w:ascii="仿宋" w:hAnsi="仿宋" w:eastAsia="仿宋" w:cs="仿宋_GB2312"/>
          <w:color w:val="333333"/>
          <w:kern w:val="0"/>
          <w:sz w:val="32"/>
          <w:szCs w:val="32"/>
        </w:rPr>
        <w:t>万元，其中：</w:t>
      </w:r>
      <w:r>
        <w:rPr>
          <w:rFonts w:hint="eastAsia" w:ascii="仿宋" w:hAnsi="仿宋" w:eastAsia="仿宋" w:cs="仿宋_GB2312"/>
          <w:color w:val="333333"/>
          <w:kern w:val="0"/>
          <w:sz w:val="32"/>
          <w:szCs w:val="32"/>
        </w:rPr>
        <w:t>财政拨款</w:t>
      </w:r>
      <w:r>
        <w:rPr>
          <w:rFonts w:ascii="仿宋" w:hAnsi="仿宋" w:eastAsia="仿宋" w:cs="仿宋_GB2312"/>
          <w:color w:val="333333"/>
          <w:kern w:val="0"/>
          <w:sz w:val="32"/>
          <w:szCs w:val="32"/>
        </w:rPr>
        <w:t>支出</w:t>
      </w:r>
      <w:r>
        <w:rPr>
          <w:rFonts w:hint="eastAsia" w:ascii="仿宋" w:hAnsi="仿宋" w:eastAsia="仿宋" w:cs="仿宋_GB2312"/>
          <w:color w:val="333333"/>
          <w:kern w:val="0"/>
          <w:sz w:val="32"/>
          <w:szCs w:val="32"/>
          <w:lang w:val="en-US" w:eastAsia="zh-CN"/>
        </w:rPr>
        <w:t>524.82</w:t>
      </w:r>
      <w:r>
        <w:rPr>
          <w:rFonts w:ascii="仿宋" w:hAnsi="仿宋" w:eastAsia="仿宋" w:cs="仿宋_GB2312"/>
          <w:color w:val="333333"/>
          <w:kern w:val="0"/>
          <w:sz w:val="32"/>
          <w:szCs w:val="32"/>
        </w:rPr>
        <w:t>万元，占本年支出的</w:t>
      </w:r>
      <w:r>
        <w:rPr>
          <w:rFonts w:hint="eastAsia" w:ascii="仿宋" w:hAnsi="仿宋" w:eastAsia="仿宋" w:cs="仿宋_GB2312"/>
          <w:color w:val="333333"/>
          <w:kern w:val="0"/>
          <w:sz w:val="32"/>
          <w:szCs w:val="32"/>
        </w:rPr>
        <w:t>100</w:t>
      </w:r>
      <w:r>
        <w:rPr>
          <w:rFonts w:ascii="仿宋" w:hAnsi="仿宋" w:eastAsia="仿宋" w:cs="仿宋_GB2312"/>
          <w:color w:val="333333"/>
          <w:kern w:val="0"/>
          <w:sz w:val="32"/>
          <w:szCs w:val="32"/>
        </w:rPr>
        <w:t>%</w:t>
      </w:r>
      <w:r>
        <w:rPr>
          <w:rFonts w:hint="eastAsia" w:ascii="仿宋" w:hAnsi="仿宋" w:eastAsia="仿宋" w:cs="仿宋_GB2312"/>
          <w:color w:val="333333"/>
          <w:kern w:val="0"/>
          <w:sz w:val="32"/>
          <w:szCs w:val="32"/>
        </w:rPr>
        <w:t>。主要是工资福利支出、对个人家庭的补助、商品和服务支出中公用经费支出。</w:t>
      </w:r>
      <w:r>
        <w:rPr>
          <w:rFonts w:ascii="仿宋" w:hAnsi="仿宋" w:eastAsia="仿宋" w:cs="仿宋_GB2312"/>
          <w:color w:val="333333"/>
          <w:kern w:val="0"/>
          <w:sz w:val="32"/>
          <w:szCs w:val="32"/>
        </w:rPr>
        <w:t>20</w:t>
      </w:r>
      <w:r>
        <w:rPr>
          <w:rFonts w:hint="eastAsia" w:ascii="仿宋" w:hAnsi="仿宋" w:eastAsia="仿宋" w:cs="仿宋_GB2312"/>
          <w:color w:val="333333"/>
          <w:kern w:val="0"/>
          <w:sz w:val="32"/>
          <w:szCs w:val="32"/>
        </w:rPr>
        <w:t>2</w:t>
      </w:r>
      <w:r>
        <w:rPr>
          <w:rFonts w:hint="eastAsia" w:ascii="仿宋" w:hAnsi="仿宋" w:eastAsia="仿宋" w:cs="仿宋_GB2312"/>
          <w:color w:val="333333"/>
          <w:kern w:val="0"/>
          <w:sz w:val="32"/>
          <w:szCs w:val="32"/>
          <w:lang w:val="en-US" w:eastAsia="zh-CN"/>
        </w:rPr>
        <w:t>1</w:t>
      </w:r>
      <w:r>
        <w:rPr>
          <w:rFonts w:ascii="仿宋" w:hAnsi="仿宋" w:eastAsia="仿宋" w:cs="仿宋_GB2312"/>
          <w:color w:val="333333"/>
          <w:kern w:val="0"/>
          <w:sz w:val="32"/>
          <w:szCs w:val="32"/>
        </w:rPr>
        <w:t>年度</w:t>
      </w:r>
      <w:r>
        <w:rPr>
          <w:rFonts w:hint="eastAsia" w:ascii="仿宋" w:hAnsi="仿宋" w:eastAsia="仿宋" w:cs="仿宋_GB2312"/>
          <w:color w:val="333333"/>
          <w:kern w:val="0"/>
          <w:sz w:val="32"/>
          <w:szCs w:val="32"/>
        </w:rPr>
        <w:t>总</w:t>
      </w:r>
      <w:r>
        <w:rPr>
          <w:rFonts w:ascii="仿宋" w:hAnsi="仿宋" w:eastAsia="仿宋" w:cs="仿宋_GB2312"/>
          <w:color w:val="333333"/>
          <w:kern w:val="0"/>
          <w:sz w:val="32"/>
          <w:szCs w:val="32"/>
        </w:rPr>
        <w:t>支出</w:t>
      </w:r>
      <w:r>
        <w:rPr>
          <w:rFonts w:hint="eastAsia" w:ascii="仿宋" w:hAnsi="仿宋" w:eastAsia="仿宋" w:cs="仿宋_GB2312"/>
          <w:color w:val="333333"/>
          <w:kern w:val="0"/>
          <w:sz w:val="32"/>
          <w:szCs w:val="32"/>
          <w:lang w:val="en-US" w:eastAsia="zh-CN"/>
        </w:rPr>
        <w:t>524.82</w:t>
      </w:r>
      <w:r>
        <w:rPr>
          <w:rFonts w:ascii="仿宋" w:hAnsi="仿宋" w:eastAsia="仿宋" w:cs="仿宋_GB2312"/>
          <w:color w:val="333333"/>
          <w:kern w:val="0"/>
          <w:sz w:val="32"/>
          <w:szCs w:val="32"/>
        </w:rPr>
        <w:t>万元，其中人员经费支出</w:t>
      </w:r>
      <w:r>
        <w:rPr>
          <w:rFonts w:hint="eastAsia" w:ascii="仿宋" w:hAnsi="仿宋" w:eastAsia="仿宋" w:cs="仿宋_GB2312"/>
          <w:color w:val="333333"/>
          <w:kern w:val="0"/>
          <w:sz w:val="32"/>
          <w:szCs w:val="32"/>
          <w:lang w:val="en-US" w:eastAsia="zh-CN"/>
        </w:rPr>
        <w:t>289.47</w:t>
      </w:r>
      <w:r>
        <w:rPr>
          <w:rFonts w:ascii="仿宋" w:hAnsi="仿宋" w:eastAsia="仿宋" w:cs="仿宋_GB2312"/>
          <w:color w:val="333333"/>
          <w:kern w:val="0"/>
          <w:sz w:val="32"/>
          <w:szCs w:val="32"/>
        </w:rPr>
        <w:t>万元，用于基本工资、津补贴、考核绩效工资、奖金发放、社会保障缴费、职业年金缴费等支出；公用支出</w:t>
      </w:r>
      <w:r>
        <w:rPr>
          <w:rFonts w:hint="eastAsia" w:ascii="仿宋" w:hAnsi="仿宋" w:eastAsia="仿宋" w:cs="仿宋_GB2312"/>
          <w:color w:val="333333"/>
          <w:kern w:val="0"/>
          <w:sz w:val="32"/>
          <w:szCs w:val="32"/>
        </w:rPr>
        <w:t>2</w:t>
      </w:r>
      <w:r>
        <w:rPr>
          <w:rFonts w:hint="eastAsia" w:ascii="仿宋" w:hAnsi="仿宋" w:eastAsia="仿宋" w:cs="仿宋_GB2312"/>
          <w:color w:val="333333"/>
          <w:kern w:val="0"/>
          <w:sz w:val="32"/>
          <w:szCs w:val="32"/>
          <w:lang w:val="en-US" w:eastAsia="zh-CN"/>
        </w:rPr>
        <w:t>35.35</w:t>
      </w:r>
      <w:r>
        <w:rPr>
          <w:rFonts w:ascii="仿宋" w:hAnsi="仿宋" w:eastAsia="仿宋" w:cs="仿宋_GB2312"/>
          <w:color w:val="333333"/>
          <w:kern w:val="0"/>
          <w:sz w:val="32"/>
          <w:szCs w:val="32"/>
        </w:rPr>
        <w:t>万元，主要用于办公费、工会经费</w:t>
      </w:r>
      <w:r>
        <w:rPr>
          <w:rFonts w:hint="eastAsia" w:ascii="仿宋" w:hAnsi="仿宋" w:eastAsia="仿宋" w:cs="仿宋_GB2312"/>
          <w:color w:val="333333"/>
          <w:kern w:val="0"/>
          <w:sz w:val="32"/>
          <w:szCs w:val="32"/>
        </w:rPr>
        <w:t>、水、电费、维（护）费、办公设备购置</w:t>
      </w:r>
      <w:r>
        <w:rPr>
          <w:rFonts w:ascii="仿宋" w:hAnsi="仿宋" w:eastAsia="仿宋" w:cs="仿宋_GB2312"/>
          <w:color w:val="333333"/>
          <w:kern w:val="0"/>
          <w:sz w:val="32"/>
          <w:szCs w:val="32"/>
        </w:rPr>
        <w:t>等</w:t>
      </w:r>
      <w:r>
        <w:rPr>
          <w:rFonts w:hint="eastAsia" w:ascii="仿宋" w:hAnsi="仿宋" w:eastAsia="仿宋" w:cs="仿宋_GB2312"/>
          <w:color w:val="333333"/>
          <w:kern w:val="0"/>
          <w:sz w:val="32"/>
          <w:szCs w:val="32"/>
        </w:rPr>
        <w:t>日常</w:t>
      </w:r>
      <w:r>
        <w:rPr>
          <w:rFonts w:ascii="仿宋" w:hAnsi="仿宋" w:eastAsia="仿宋" w:cs="仿宋_GB2312"/>
          <w:color w:val="333333"/>
          <w:kern w:val="0"/>
          <w:sz w:val="32"/>
          <w:szCs w:val="32"/>
        </w:rPr>
        <w:t>方面支出；</w:t>
      </w:r>
      <w:r>
        <w:rPr>
          <w:rFonts w:hint="eastAsia" w:ascii="仿宋" w:hAnsi="仿宋" w:eastAsia="仿宋" w:cs="仿宋_GB2312"/>
          <w:color w:val="333333"/>
          <w:kern w:val="0"/>
          <w:sz w:val="32"/>
          <w:szCs w:val="32"/>
        </w:rPr>
        <w:t>。</w:t>
      </w:r>
    </w:p>
    <w:p>
      <w:pPr>
        <w:pStyle w:val="8"/>
        <w:tabs>
          <w:tab w:val="left" w:pos="867"/>
        </w:tabs>
        <w:spacing w:line="500" w:lineRule="exact"/>
        <w:ind w:firstLine="640" w:firstLineChars="200"/>
        <w:rPr>
          <w:rFonts w:ascii="Times New Roman" w:hAnsi="Times New Roman" w:eastAsia="仿宋_GB2312" w:cs="Times New Roman"/>
          <w:b/>
          <w:sz w:val="32"/>
          <w:szCs w:val="32"/>
          <w:lang w:val="en-US"/>
        </w:rPr>
      </w:pPr>
      <w:r>
        <w:rPr>
          <w:rFonts w:hint="eastAsia" w:ascii="Times New Roman" w:hAnsi="Times New Roman" w:eastAsia="仿宋_GB2312" w:cs="Times New Roman"/>
          <w:color w:val="000000"/>
          <w:kern w:val="0"/>
          <w:sz w:val="32"/>
          <w:szCs w:val="32"/>
        </w:rPr>
        <w:t>街道</w:t>
      </w:r>
      <w:r>
        <w:rPr>
          <w:rFonts w:ascii="Times New Roman" w:hAnsi="Times New Roman" w:eastAsia="仿宋_GB2312" w:cs="Times New Roman"/>
          <w:color w:val="000000"/>
          <w:kern w:val="0"/>
          <w:sz w:val="32"/>
          <w:szCs w:val="32"/>
        </w:rPr>
        <w:t>严格落实中央厉行节约的有关规定</w:t>
      </w:r>
      <w:r>
        <w:rPr>
          <w:rFonts w:hint="eastAsia" w:eastAsia="仿宋_GB2312" w:cs="Times New Roman"/>
          <w:color w:val="000000"/>
          <w:kern w:val="0"/>
          <w:sz w:val="32"/>
          <w:szCs w:val="32"/>
        </w:rPr>
        <w:t>，</w:t>
      </w:r>
      <w:r>
        <w:rPr>
          <w:rFonts w:ascii="Times New Roman" w:hAnsi="Times New Roman" w:eastAsia="仿宋_GB2312" w:cs="Times New Roman"/>
          <w:color w:val="000000"/>
          <w:kern w:val="0"/>
          <w:sz w:val="32"/>
          <w:szCs w:val="32"/>
        </w:rPr>
        <w:t>严把“三公”经费使用关。20</w:t>
      </w:r>
      <w:r>
        <w:rPr>
          <w:rFonts w:hint="eastAsia" w:ascii="Times New Roman" w:hAnsi="Times New Roman" w:eastAsia="仿宋_GB2312" w:cs="Times New Roman"/>
          <w:color w:val="000000"/>
          <w:kern w:val="0"/>
          <w:sz w:val="32"/>
          <w:szCs w:val="32"/>
          <w:lang w:val="en-US"/>
        </w:rPr>
        <w:t>2</w:t>
      </w:r>
      <w:r>
        <w:rPr>
          <w:rFonts w:hint="eastAsia" w:ascii="Times New Roman" w:hAnsi="Times New Roman" w:eastAsia="仿宋_GB2312" w:cs="Times New Roman"/>
          <w:color w:val="000000"/>
          <w:kern w:val="0"/>
          <w:sz w:val="32"/>
          <w:szCs w:val="32"/>
          <w:lang w:val="en-US" w:eastAsia="zh-CN"/>
        </w:rPr>
        <w:t>1</w:t>
      </w:r>
      <w:r>
        <w:rPr>
          <w:rFonts w:ascii="Times New Roman" w:hAnsi="Times New Roman" w:eastAsia="仿宋_GB2312" w:cs="Times New Roman"/>
          <w:color w:val="000000"/>
          <w:kern w:val="0"/>
          <w:sz w:val="32"/>
          <w:szCs w:val="32"/>
        </w:rPr>
        <w:t>年度“三公”经费预算支出</w:t>
      </w:r>
      <w:r>
        <w:rPr>
          <w:rFonts w:hint="eastAsia" w:eastAsia="仿宋_GB2312" w:cs="Times New Roman"/>
          <w:color w:val="000000"/>
          <w:kern w:val="0"/>
          <w:sz w:val="32"/>
          <w:szCs w:val="32"/>
          <w:lang w:val="en-US"/>
        </w:rPr>
        <w:t>0</w:t>
      </w:r>
      <w:r>
        <w:rPr>
          <w:rFonts w:ascii="Times New Roman" w:hAnsi="Times New Roman" w:eastAsia="仿宋_GB2312" w:cs="Times New Roman"/>
          <w:color w:val="000000"/>
          <w:kern w:val="0"/>
          <w:sz w:val="32"/>
          <w:szCs w:val="32"/>
        </w:rPr>
        <w:t>万元。 “三公”经费实际支出</w:t>
      </w:r>
      <w:r>
        <w:rPr>
          <w:rFonts w:hint="eastAsia" w:eastAsia="仿宋_GB2312" w:cs="Times New Roman"/>
          <w:color w:val="000000"/>
          <w:kern w:val="0"/>
          <w:sz w:val="32"/>
          <w:szCs w:val="32"/>
          <w:lang w:val="en-US"/>
        </w:rPr>
        <w:t>0</w:t>
      </w:r>
      <w:r>
        <w:rPr>
          <w:rFonts w:ascii="Times New Roman" w:hAnsi="Times New Roman" w:eastAsia="仿宋_GB2312" w:cs="Times New Roman"/>
          <w:color w:val="000000"/>
          <w:kern w:val="0"/>
          <w:sz w:val="32"/>
          <w:szCs w:val="32"/>
        </w:rPr>
        <w:t>万元，其中：因公出国（境）费无，公务用车运行维护费</w:t>
      </w:r>
      <w:r>
        <w:rPr>
          <w:rFonts w:hint="eastAsia" w:eastAsia="仿宋_GB2312" w:cs="Times New Roman"/>
          <w:color w:val="000000"/>
          <w:kern w:val="0"/>
          <w:sz w:val="32"/>
          <w:szCs w:val="32"/>
          <w:lang w:val="en-US"/>
        </w:rPr>
        <w:t>0</w:t>
      </w:r>
      <w:r>
        <w:rPr>
          <w:rFonts w:ascii="Times New Roman" w:hAnsi="Times New Roman" w:eastAsia="仿宋_GB2312" w:cs="Times New Roman"/>
          <w:color w:val="000000"/>
          <w:kern w:val="0"/>
          <w:sz w:val="32"/>
          <w:szCs w:val="32"/>
        </w:rPr>
        <w:t>万元，公务接待费</w:t>
      </w:r>
      <w:r>
        <w:rPr>
          <w:rFonts w:hint="eastAsia" w:eastAsia="仿宋_GB2312" w:cs="Times New Roman"/>
          <w:color w:val="000000"/>
          <w:kern w:val="0"/>
          <w:sz w:val="32"/>
          <w:szCs w:val="32"/>
          <w:lang w:val="en-US"/>
        </w:rPr>
        <w:t>0</w:t>
      </w:r>
      <w:r>
        <w:rPr>
          <w:rFonts w:ascii="Times New Roman" w:hAnsi="Times New Roman" w:eastAsia="仿宋_GB2312" w:cs="Times New Roman"/>
          <w:color w:val="000000"/>
          <w:kern w:val="0"/>
          <w:sz w:val="32"/>
          <w:szCs w:val="32"/>
        </w:rPr>
        <w:t>万元，均未超预算。</w:t>
      </w:r>
    </w:p>
    <w:p>
      <w:pPr>
        <w:pStyle w:val="8"/>
        <w:tabs>
          <w:tab w:val="left" w:pos="1111"/>
        </w:tabs>
        <w:spacing w:line="500" w:lineRule="exact"/>
        <w:ind w:firstLine="643" w:firstLineChars="200"/>
        <w:jc w:val="left"/>
        <w:rPr>
          <w:rFonts w:ascii="仿宋" w:hAnsi="仿宋" w:eastAsia="仿宋" w:cs="仿宋"/>
          <w:b/>
          <w:bCs/>
          <w:sz w:val="32"/>
          <w:szCs w:val="32"/>
        </w:rPr>
      </w:pPr>
      <w:r>
        <w:rPr>
          <w:rFonts w:hint="eastAsia" w:ascii="仿宋" w:hAnsi="仿宋" w:eastAsia="仿宋" w:cs="仿宋"/>
          <w:b/>
          <w:bCs/>
          <w:color w:val="000000"/>
          <w:sz w:val="32"/>
          <w:szCs w:val="32"/>
          <w:lang w:val="en-US"/>
        </w:rPr>
        <w:t>2、</w:t>
      </w:r>
      <w:r>
        <w:rPr>
          <w:rFonts w:hint="eastAsia" w:ascii="仿宋" w:hAnsi="仿宋" w:eastAsia="仿宋" w:cs="仿宋"/>
          <w:b/>
          <w:bCs/>
          <w:color w:val="000000"/>
          <w:sz w:val="32"/>
          <w:szCs w:val="32"/>
        </w:rPr>
        <w:t>项目支出</w:t>
      </w:r>
    </w:p>
    <w:p>
      <w:pPr>
        <w:ind w:firstLine="645"/>
        <w:rPr>
          <w:rFonts w:ascii="仿宋" w:hAnsi="仿宋" w:eastAsia="仿宋" w:cs="仿宋_GB2312"/>
          <w:color w:val="333333"/>
          <w:kern w:val="0"/>
          <w:sz w:val="32"/>
          <w:szCs w:val="32"/>
        </w:rPr>
      </w:pPr>
      <w:r>
        <w:rPr>
          <w:rFonts w:hint="eastAsia" w:ascii="仿宋" w:hAnsi="仿宋" w:eastAsia="仿宋" w:cs="仿宋"/>
          <w:sz w:val="32"/>
          <w:szCs w:val="32"/>
        </w:rPr>
        <w:t>我单位未做项目支出。</w:t>
      </w:r>
    </w:p>
    <w:bookmarkEnd w:id="5"/>
    <w:p>
      <w:pPr>
        <w:pStyle w:val="8"/>
        <w:keepNext w:val="0"/>
        <w:keepLines w:val="0"/>
        <w:pageBreakBefore w:val="0"/>
        <w:widowControl w:val="0"/>
        <w:numPr>
          <w:ilvl w:val="0"/>
          <w:numId w:val="0"/>
        </w:numPr>
        <w:shd w:val="clear" w:color="auto" w:fill="auto"/>
        <w:tabs>
          <w:tab w:val="left" w:pos="867"/>
        </w:tabs>
        <w:kinsoku/>
        <w:wordWrap/>
        <w:overflowPunct/>
        <w:topLinePunct w:val="0"/>
        <w:autoSpaceDE/>
        <w:autoSpaceDN/>
        <w:bidi w:val="0"/>
        <w:adjustRightInd/>
        <w:snapToGrid/>
        <w:spacing w:before="0" w:after="0" w:line="560" w:lineRule="exact"/>
        <w:ind w:leftChars="200" w:right="0" w:rightChars="0"/>
        <w:jc w:val="both"/>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eastAsia="zh-CN"/>
        </w:rPr>
        <w:t>三、</w:t>
      </w:r>
      <w:r>
        <w:rPr>
          <w:rFonts w:hint="eastAsia" w:ascii="仿宋_GB2312" w:hAnsi="仿宋_GB2312" w:eastAsia="仿宋_GB2312" w:cs="仿宋_GB2312"/>
          <w:b/>
          <w:bCs/>
          <w:color w:val="000000"/>
          <w:spacing w:val="0"/>
          <w:w w:val="100"/>
          <w:position w:val="0"/>
          <w:sz w:val="32"/>
          <w:szCs w:val="32"/>
        </w:rPr>
        <w:t>部门项目组织实施情况</w:t>
      </w:r>
    </w:p>
    <w:p>
      <w:pPr>
        <w:ind w:firstLine="645"/>
        <w:rPr>
          <w:rFonts w:ascii="仿宋" w:hAnsi="仿宋" w:eastAsia="仿宋" w:cs="仿宋_GB2312"/>
          <w:color w:val="333333"/>
          <w:kern w:val="0"/>
          <w:sz w:val="32"/>
          <w:szCs w:val="32"/>
        </w:rPr>
      </w:pPr>
      <w:r>
        <w:rPr>
          <w:rFonts w:hint="eastAsia" w:ascii="仿宋" w:hAnsi="仿宋" w:eastAsia="仿宋" w:cs="仿宋"/>
          <w:sz w:val="32"/>
          <w:szCs w:val="32"/>
        </w:rPr>
        <w:t>我单位未做项目支出。</w:t>
      </w:r>
    </w:p>
    <w:p>
      <w:pPr>
        <w:pStyle w:val="8"/>
        <w:keepNext w:val="0"/>
        <w:keepLines w:val="0"/>
        <w:pageBreakBefore w:val="0"/>
        <w:widowControl w:val="0"/>
        <w:numPr>
          <w:ilvl w:val="0"/>
          <w:numId w:val="0"/>
        </w:numPr>
        <w:shd w:val="clear" w:color="auto" w:fill="auto"/>
        <w:tabs>
          <w:tab w:val="left" w:pos="867"/>
        </w:tabs>
        <w:kinsoku/>
        <w:wordWrap/>
        <w:overflowPunct/>
        <w:topLinePunct w:val="0"/>
        <w:autoSpaceDE/>
        <w:autoSpaceDN/>
        <w:bidi w:val="0"/>
        <w:adjustRightInd/>
        <w:snapToGrid/>
        <w:spacing w:before="0" w:after="0" w:line="560" w:lineRule="exact"/>
        <w:ind w:leftChars="200" w:right="0" w:rightChars="0"/>
        <w:jc w:val="both"/>
        <w:textAlignment w:val="auto"/>
        <w:rPr>
          <w:rFonts w:hint="eastAsia" w:ascii="仿宋_GB2312" w:hAnsi="仿宋_GB2312" w:eastAsia="仿宋_GB2312" w:cs="仿宋_GB2312"/>
          <w:b/>
          <w:bCs/>
          <w:color w:val="000000"/>
          <w:spacing w:val="0"/>
          <w:w w:val="100"/>
          <w:position w:val="0"/>
          <w:sz w:val="32"/>
          <w:szCs w:val="32"/>
        </w:rPr>
      </w:pPr>
    </w:p>
    <w:p>
      <w:pPr>
        <w:pStyle w:val="8"/>
        <w:keepNext w:val="0"/>
        <w:keepLines w:val="0"/>
        <w:pageBreakBefore w:val="0"/>
        <w:widowControl w:val="0"/>
        <w:numPr>
          <w:ilvl w:val="0"/>
          <w:numId w:val="0"/>
        </w:numPr>
        <w:shd w:val="clear" w:color="auto" w:fill="auto"/>
        <w:tabs>
          <w:tab w:val="left" w:pos="867"/>
        </w:tabs>
        <w:kinsoku/>
        <w:wordWrap/>
        <w:overflowPunct/>
        <w:topLinePunct w:val="0"/>
        <w:autoSpaceDE/>
        <w:autoSpaceDN/>
        <w:bidi w:val="0"/>
        <w:adjustRightInd/>
        <w:snapToGrid/>
        <w:spacing w:before="0" w:after="0" w:line="560" w:lineRule="exact"/>
        <w:ind w:leftChars="200" w:right="0" w:rightChars="0"/>
        <w:jc w:val="both"/>
        <w:textAlignment w:val="auto"/>
        <w:rPr>
          <w:rFonts w:hint="eastAsia" w:ascii="仿宋_GB2312" w:hAnsi="仿宋_GB2312" w:eastAsia="仿宋_GB2312" w:cs="仿宋_GB2312"/>
          <w:b/>
          <w:bCs/>
          <w:color w:val="000000"/>
          <w:spacing w:val="0"/>
          <w:w w:val="100"/>
          <w:position w:val="0"/>
          <w:sz w:val="32"/>
          <w:szCs w:val="32"/>
        </w:rPr>
      </w:pPr>
    </w:p>
    <w:p>
      <w:pPr>
        <w:pStyle w:val="8"/>
        <w:keepNext w:val="0"/>
        <w:keepLines w:val="0"/>
        <w:pageBreakBefore w:val="0"/>
        <w:widowControl w:val="0"/>
        <w:numPr>
          <w:ilvl w:val="0"/>
          <w:numId w:val="2"/>
        </w:numPr>
        <w:shd w:val="clear" w:color="auto" w:fill="auto"/>
        <w:tabs>
          <w:tab w:val="left" w:pos="876"/>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资产管理情况</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eastAsia" w:ascii="仿宋" w:hAnsi="仿宋" w:eastAsia="仿宋" w:cs="仿宋"/>
          <w:sz w:val="32"/>
          <w:szCs w:val="32"/>
        </w:rPr>
      </w:pPr>
      <w:r>
        <w:rPr>
          <w:rFonts w:hint="eastAsia" w:ascii="仿宋_GB2312" w:hAnsi="仿宋_GB2312" w:eastAsia="仿宋_GB2312" w:cs="仿宋_GB2312"/>
          <w:b w:val="0"/>
          <w:bCs w:val="0"/>
          <w:color w:val="000000"/>
          <w:spacing w:val="0"/>
          <w:w w:val="100"/>
          <w:position w:val="0"/>
          <w:sz w:val="32"/>
          <w:szCs w:val="32"/>
          <w:lang w:eastAsia="zh-CN"/>
        </w:rPr>
        <w:t>加强资产管理，</w:t>
      </w:r>
      <w:r>
        <w:rPr>
          <w:rFonts w:hint="eastAsia" w:ascii="仿宋" w:hAnsi="仿宋" w:eastAsia="仿宋" w:cs="仿宋"/>
          <w:color w:val="000000"/>
          <w:spacing w:val="0"/>
          <w:w w:val="100"/>
          <w:position w:val="0"/>
          <w:sz w:val="32"/>
          <w:szCs w:val="32"/>
          <w:lang w:eastAsia="zh-CN"/>
        </w:rPr>
        <w:t>我单位资产按类别分为办公服务用房、办公通用设备、家具用具，</w:t>
      </w:r>
      <w:r>
        <w:rPr>
          <w:rFonts w:hint="eastAsia" w:ascii="仿宋" w:hAnsi="仿宋" w:eastAsia="仿宋" w:cs="仿宋"/>
          <w:color w:val="000000"/>
          <w:spacing w:val="0"/>
          <w:w w:val="100"/>
          <w:position w:val="0"/>
          <w:sz w:val="32"/>
          <w:szCs w:val="32"/>
          <w:lang w:val="en-US" w:eastAsia="zh-CN"/>
        </w:rPr>
        <w:t>对资产的配置计入财务固定资产明细账，制定固定资产管理制度，对资产配置严格按规定标准配备，资产处置实行报批审核</w:t>
      </w:r>
      <w:r>
        <w:rPr>
          <w:rFonts w:hint="eastAsia" w:ascii="仿宋" w:hAnsi="仿宋" w:eastAsia="仿宋" w:cs="仿宋"/>
          <w:color w:val="000000"/>
          <w:spacing w:val="0"/>
          <w:w w:val="100"/>
          <w:position w:val="0"/>
          <w:sz w:val="32"/>
          <w:szCs w:val="32"/>
        </w:rPr>
        <w:t>。</w:t>
      </w:r>
      <w:bookmarkStart w:id="7" w:name="_GoBack"/>
      <w:bookmarkEnd w:id="7"/>
    </w:p>
    <w:p>
      <w:pPr>
        <w:pStyle w:val="8"/>
        <w:keepNext w:val="0"/>
        <w:keepLines w:val="0"/>
        <w:pageBreakBefore w:val="0"/>
        <w:widowControl w:val="0"/>
        <w:numPr>
          <w:ilvl w:val="0"/>
          <w:numId w:val="0"/>
        </w:numPr>
        <w:shd w:val="clear" w:color="auto" w:fill="auto"/>
        <w:tabs>
          <w:tab w:val="left" w:pos="876"/>
        </w:tabs>
        <w:kinsoku/>
        <w:wordWrap/>
        <w:overflowPunct/>
        <w:topLinePunct w:val="0"/>
        <w:autoSpaceDE/>
        <w:autoSpaceDN/>
        <w:bidi w:val="0"/>
        <w:adjustRightInd/>
        <w:snapToGrid/>
        <w:spacing w:before="0" w:after="0" w:line="560" w:lineRule="exact"/>
        <w:ind w:leftChars="20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p>
    <w:p>
      <w:pPr>
        <w:pStyle w:val="8"/>
        <w:keepNext w:val="0"/>
        <w:keepLines w:val="0"/>
        <w:pageBreakBefore w:val="0"/>
        <w:widowControl w:val="0"/>
        <w:numPr>
          <w:ilvl w:val="0"/>
          <w:numId w:val="0"/>
        </w:numPr>
        <w:shd w:val="clear" w:color="auto" w:fill="auto"/>
        <w:tabs>
          <w:tab w:val="left" w:pos="876"/>
        </w:tabs>
        <w:kinsoku/>
        <w:wordWrap/>
        <w:overflowPunct/>
        <w:topLinePunct w:val="0"/>
        <w:autoSpaceDE/>
        <w:autoSpaceDN/>
        <w:bidi w:val="0"/>
        <w:adjustRightInd/>
        <w:snapToGrid/>
        <w:spacing w:before="0" w:after="0" w:line="560" w:lineRule="exact"/>
        <w:ind w:right="0" w:rightChars="0" w:firstLine="643" w:firstLineChars="200"/>
        <w:jc w:val="both"/>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eastAsia="zh-CN"/>
        </w:rPr>
        <w:t>五、</w:t>
      </w:r>
      <w:r>
        <w:rPr>
          <w:rFonts w:hint="eastAsia" w:ascii="仿宋_GB2312" w:hAnsi="仿宋_GB2312" w:eastAsia="仿宋_GB2312" w:cs="仿宋_GB2312"/>
          <w:b/>
          <w:bCs/>
          <w:color w:val="000000"/>
          <w:spacing w:val="0"/>
          <w:w w:val="100"/>
          <w:position w:val="0"/>
          <w:sz w:val="32"/>
          <w:szCs w:val="32"/>
        </w:rPr>
        <w:t>部门整体支出绩效情况</w:t>
      </w:r>
    </w:p>
    <w:p>
      <w:pPr>
        <w:pStyle w:val="8"/>
        <w:spacing w:line="5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lang w:val="en-US"/>
        </w:rPr>
        <w:t>2</w:t>
      </w:r>
      <w:r>
        <w:rPr>
          <w:rFonts w:hint="eastAsia"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苗圃街道</w:t>
      </w:r>
      <w:r>
        <w:rPr>
          <w:rFonts w:ascii="Times New Roman" w:hAnsi="Times New Roman" w:eastAsia="仿宋_GB2312" w:cs="Times New Roman"/>
          <w:color w:val="000000"/>
          <w:sz w:val="32"/>
          <w:szCs w:val="32"/>
        </w:rPr>
        <w:t>积极履职，强化管理，优质高效的完成了年度工作目标</w:t>
      </w:r>
      <w:r>
        <w:rPr>
          <w:rFonts w:hint="eastAsia" w:ascii="Times New Roman" w:hAnsi="Times New Roman" w:eastAsia="仿宋_GB2312" w:cs="Times New Roman"/>
          <w:color w:val="000000"/>
          <w:sz w:val="32"/>
          <w:szCs w:val="32"/>
        </w:rPr>
        <w:t>，确保了街道、社区两级正常运转</w:t>
      </w:r>
      <w:r>
        <w:rPr>
          <w:rFonts w:ascii="Times New Roman" w:hAnsi="Times New Roman" w:eastAsia="仿宋_GB2312" w:cs="Times New Roman"/>
          <w:color w:val="000000"/>
          <w:sz w:val="32"/>
          <w:szCs w:val="32"/>
        </w:rPr>
        <w:t>。</w:t>
      </w:r>
      <w:r>
        <w:rPr>
          <w:rFonts w:eastAsia="仿宋_GB2312"/>
          <w:color w:val="000000"/>
          <w:sz w:val="32"/>
          <w:szCs w:val="32"/>
        </w:rPr>
        <w:t>根据部门整体支出绩效评价指标体系，我单位20</w:t>
      </w:r>
      <w:r>
        <w:rPr>
          <w:rFonts w:hint="eastAsia" w:eastAsia="仿宋_GB2312"/>
          <w:color w:val="000000"/>
          <w:sz w:val="32"/>
          <w:szCs w:val="32"/>
          <w:lang w:val="en-US"/>
        </w:rPr>
        <w:t>2</w:t>
      </w:r>
      <w:r>
        <w:rPr>
          <w:rFonts w:hint="eastAsia" w:eastAsia="仿宋_GB2312"/>
          <w:color w:val="000000"/>
          <w:sz w:val="32"/>
          <w:szCs w:val="32"/>
          <w:lang w:val="en-US" w:eastAsia="zh-CN"/>
        </w:rPr>
        <w:t>1</w:t>
      </w:r>
      <w:r>
        <w:rPr>
          <w:rFonts w:eastAsia="仿宋_GB2312"/>
          <w:color w:val="000000"/>
          <w:sz w:val="32"/>
          <w:szCs w:val="32"/>
        </w:rPr>
        <w:t>年度评价得分为</w:t>
      </w:r>
      <w:r>
        <w:rPr>
          <w:rFonts w:hint="eastAsia" w:eastAsia="仿宋_GB2312"/>
          <w:color w:val="000000"/>
          <w:sz w:val="32"/>
          <w:szCs w:val="32"/>
        </w:rPr>
        <w:t>9</w:t>
      </w:r>
      <w:r>
        <w:rPr>
          <w:rFonts w:hint="eastAsia" w:eastAsia="仿宋_GB2312"/>
          <w:color w:val="000000"/>
          <w:sz w:val="32"/>
          <w:szCs w:val="32"/>
          <w:lang w:val="en-US" w:eastAsia="zh-CN"/>
        </w:rPr>
        <w:t>6</w:t>
      </w:r>
      <w:r>
        <w:rPr>
          <w:rFonts w:eastAsia="仿宋_GB2312"/>
          <w:color w:val="000000"/>
          <w:sz w:val="32"/>
          <w:szCs w:val="32"/>
        </w:rPr>
        <w:t>分。部门整体支出绩效情况如下：</w:t>
      </w:r>
    </w:p>
    <w:p>
      <w:pPr>
        <w:pStyle w:val="8"/>
        <w:numPr>
          <w:ilvl w:val="0"/>
          <w:numId w:val="3"/>
        </w:numPr>
        <w:spacing w:line="5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充分做好关于辖区内民政社会救助、残疾人帮扶、医疗救助、困难群众帮扶等民政事务工作；</w:t>
      </w:r>
    </w:p>
    <w:p>
      <w:pPr>
        <w:pStyle w:val="8"/>
        <w:numPr>
          <w:ilvl w:val="0"/>
          <w:numId w:val="3"/>
        </w:numPr>
        <w:spacing w:line="5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rPr>
        <w:t>为辖区居民群众提供再</w:t>
      </w:r>
      <w:r>
        <w:rPr>
          <w:rFonts w:hint="eastAsia" w:ascii="Times New Roman" w:hAnsi="Times New Roman" w:eastAsia="仿宋_GB2312" w:cs="Times New Roman"/>
          <w:color w:val="000000"/>
          <w:sz w:val="32"/>
          <w:szCs w:val="32"/>
        </w:rPr>
        <w:t>就业帮扶、办理退休认证、就业补贴申报、办理居民医保等就业服务工作；</w:t>
      </w:r>
    </w:p>
    <w:p>
      <w:pPr>
        <w:pStyle w:val="8"/>
        <w:numPr>
          <w:ilvl w:val="0"/>
          <w:numId w:val="3"/>
        </w:numPr>
        <w:spacing w:line="5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rPr>
        <w:t>协助做好</w:t>
      </w:r>
      <w:r>
        <w:rPr>
          <w:rFonts w:hint="eastAsia" w:ascii="Times New Roman" w:hAnsi="Times New Roman" w:eastAsia="仿宋_GB2312" w:cs="Times New Roman"/>
          <w:color w:val="000000"/>
          <w:sz w:val="32"/>
          <w:szCs w:val="32"/>
        </w:rPr>
        <w:t>综合治理、矛盾调处、禁毒宣传等工作；</w:t>
      </w:r>
    </w:p>
    <w:p>
      <w:pPr>
        <w:pStyle w:val="8"/>
        <w:numPr>
          <w:ilvl w:val="0"/>
          <w:numId w:val="3"/>
        </w:numPr>
        <w:spacing w:line="5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rPr>
        <w:t>做好</w:t>
      </w:r>
      <w:r>
        <w:rPr>
          <w:rFonts w:hint="eastAsia" w:ascii="Times New Roman" w:hAnsi="Times New Roman" w:eastAsia="仿宋_GB2312" w:cs="Times New Roman"/>
          <w:color w:val="000000"/>
          <w:sz w:val="32"/>
          <w:szCs w:val="32"/>
        </w:rPr>
        <w:t>城市规范化管理工作；</w:t>
      </w:r>
    </w:p>
    <w:p>
      <w:pPr>
        <w:pStyle w:val="8"/>
        <w:numPr>
          <w:ilvl w:val="0"/>
          <w:numId w:val="3"/>
        </w:numPr>
        <w:spacing w:line="5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rPr>
        <w:t>积极开展创建文明城市、创建卫生城市创建工作；</w:t>
      </w:r>
    </w:p>
    <w:p>
      <w:pPr>
        <w:pStyle w:val="8"/>
        <w:numPr>
          <w:ilvl w:val="0"/>
          <w:numId w:val="3"/>
        </w:numPr>
        <w:spacing w:line="5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rPr>
        <w:t>提供</w:t>
      </w:r>
      <w:r>
        <w:rPr>
          <w:rFonts w:hint="eastAsia" w:ascii="Times New Roman" w:hAnsi="Times New Roman" w:eastAsia="仿宋_GB2312" w:cs="Times New Roman"/>
          <w:color w:val="000000"/>
          <w:sz w:val="32"/>
          <w:szCs w:val="32"/>
        </w:rPr>
        <w:t>卫生健康宣传服务；</w:t>
      </w:r>
    </w:p>
    <w:p>
      <w:pPr>
        <w:pStyle w:val="8"/>
        <w:numPr>
          <w:ilvl w:val="0"/>
          <w:numId w:val="3"/>
        </w:numPr>
        <w:spacing w:line="500" w:lineRule="exact"/>
        <w:ind w:firstLine="640" w:firstLineChars="200"/>
        <w:rPr>
          <w:rFonts w:ascii="仿宋" w:hAnsi="仿宋" w:eastAsia="仿宋" w:cs="仿宋"/>
          <w:sz w:val="32"/>
          <w:szCs w:val="32"/>
        </w:rPr>
      </w:pPr>
      <w:r>
        <w:rPr>
          <w:rFonts w:hint="eastAsia" w:ascii="Times New Roman" w:hAnsi="Times New Roman" w:eastAsia="仿宋_GB2312" w:cs="Times New Roman"/>
          <w:color w:val="000000"/>
          <w:sz w:val="32"/>
          <w:szCs w:val="32"/>
        </w:rPr>
        <w:t>大力开展基层党的建设各项活动，充分发挥基层党组织战斗堡垒作用，做好社区党员管理、教育、学习、服务工作；</w:t>
      </w:r>
    </w:p>
    <w:p>
      <w:pPr>
        <w:pStyle w:val="8"/>
        <w:numPr>
          <w:ilvl w:val="0"/>
          <w:numId w:val="3"/>
        </w:numPr>
        <w:spacing w:line="500" w:lineRule="exact"/>
        <w:ind w:firstLine="640" w:firstLineChars="200"/>
        <w:rPr>
          <w:rFonts w:ascii="仿宋" w:hAnsi="仿宋" w:eastAsia="仿宋" w:cs="仿宋"/>
          <w:sz w:val="32"/>
          <w:szCs w:val="32"/>
        </w:rPr>
      </w:pPr>
      <w:r>
        <w:rPr>
          <w:rFonts w:hint="eastAsia" w:ascii="Times New Roman" w:hAnsi="Times New Roman" w:eastAsia="仿宋_GB2312" w:cs="Times New Roman"/>
          <w:color w:val="000000"/>
          <w:sz w:val="32"/>
          <w:szCs w:val="32"/>
        </w:rPr>
        <w:t>积极开展社区青少年教育、志愿者服务等形式多样的文化娱乐活动；</w:t>
      </w:r>
    </w:p>
    <w:p>
      <w:pPr>
        <w:pStyle w:val="8"/>
        <w:numPr>
          <w:ilvl w:val="0"/>
          <w:numId w:val="3"/>
        </w:numPr>
        <w:spacing w:line="500" w:lineRule="exact"/>
        <w:ind w:firstLine="640" w:firstLineChars="200"/>
        <w:rPr>
          <w:rFonts w:ascii="仿宋" w:hAnsi="仿宋" w:eastAsia="仿宋" w:cs="仿宋"/>
          <w:sz w:val="32"/>
          <w:szCs w:val="32"/>
        </w:rPr>
      </w:pPr>
      <w:r>
        <w:rPr>
          <w:rFonts w:hint="eastAsia" w:ascii="Times New Roman" w:hAnsi="Times New Roman" w:eastAsia="仿宋_GB2312" w:cs="Times New Roman"/>
          <w:color w:val="000000"/>
          <w:sz w:val="32"/>
          <w:szCs w:val="32"/>
          <w:lang w:val="en-US"/>
        </w:rPr>
        <w:t>做好各部门职能下层至基层的各</w:t>
      </w:r>
      <w:r>
        <w:rPr>
          <w:rFonts w:hint="eastAsia" w:ascii="Times New Roman" w:hAnsi="Times New Roman" w:eastAsia="仿宋_GB2312" w:cs="Times New Roman"/>
          <w:color w:val="000000"/>
          <w:sz w:val="32"/>
          <w:szCs w:val="32"/>
        </w:rPr>
        <w:t>方面的政务服务工作。</w:t>
      </w:r>
    </w:p>
    <w:p>
      <w:pPr>
        <w:pStyle w:val="8"/>
        <w:keepNext w:val="0"/>
        <w:keepLines w:val="0"/>
        <w:pageBreakBefore w:val="0"/>
        <w:widowControl w:val="0"/>
        <w:numPr>
          <w:ilvl w:val="0"/>
          <w:numId w:val="0"/>
        </w:numPr>
        <w:shd w:val="clear" w:color="auto" w:fill="auto"/>
        <w:tabs>
          <w:tab w:val="left" w:pos="876"/>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Times New Roman" w:hAnsi="Times New Roman" w:eastAsia="仿宋_GB2312" w:cs="Times New Roman"/>
          <w:color w:val="000000"/>
          <w:sz w:val="32"/>
          <w:szCs w:val="32"/>
        </w:rPr>
        <w:t>苗圃街道和所辖八个社区的各项工作围绕着积极致力于为居民群众排忧解难，努力打造舒适宜居社区美好环境而开展，取得了良好的社会效益，群众满意度高。</w:t>
      </w:r>
      <w:r>
        <w:rPr>
          <w:rFonts w:hint="eastAsia" w:ascii="仿宋_GB2312" w:hAnsi="仿宋_GB2312" w:eastAsia="仿宋_GB2312" w:cs="仿宋_GB2312"/>
          <w:color w:val="000000"/>
          <w:spacing w:val="0"/>
          <w:w w:val="100"/>
          <w:position w:val="0"/>
          <w:sz w:val="32"/>
          <w:szCs w:val="32"/>
        </w:rPr>
        <w:t>反映部门履职及履职效益情况。</w:t>
      </w:r>
      <w:bookmarkStart w:id="6" w:name="bookmark103"/>
    </w:p>
    <w:bookmarkEnd w:id="6"/>
    <w:p>
      <w:pPr>
        <w:pStyle w:val="8"/>
        <w:keepNext w:val="0"/>
        <w:keepLines w:val="0"/>
        <w:pageBreakBefore w:val="0"/>
        <w:widowControl w:val="0"/>
        <w:numPr>
          <w:ilvl w:val="0"/>
          <w:numId w:val="0"/>
        </w:numPr>
        <w:shd w:val="clear" w:color="auto" w:fill="auto"/>
        <w:tabs>
          <w:tab w:val="left" w:pos="876"/>
        </w:tabs>
        <w:kinsoku/>
        <w:wordWrap/>
        <w:overflowPunct/>
        <w:topLinePunct w:val="0"/>
        <w:autoSpaceDE/>
        <w:autoSpaceDN/>
        <w:bidi w:val="0"/>
        <w:adjustRightInd/>
        <w:snapToGrid/>
        <w:spacing w:before="0" w:after="0" w:line="560" w:lineRule="exact"/>
        <w:ind w:right="0" w:rightChars="0" w:firstLine="643" w:firstLineChars="200"/>
        <w:jc w:val="both"/>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rPr>
        <w:t>存在的主要问题</w:t>
      </w:r>
    </w:p>
    <w:p>
      <w:pPr>
        <w:pStyle w:val="8"/>
        <w:tabs>
          <w:tab w:val="left" w:pos="886"/>
        </w:tabs>
        <w:spacing w:line="360" w:lineRule="auto"/>
        <w:ind w:firstLine="624" w:firstLineChars="200"/>
        <w:rPr>
          <w:rFonts w:ascii="仿宋" w:hAnsi="仿宋" w:eastAsia="仿宋" w:cs="仿宋"/>
          <w:color w:val="000000"/>
          <w:spacing w:val="-4"/>
          <w:kern w:val="0"/>
          <w:sz w:val="32"/>
          <w:szCs w:val="32"/>
        </w:rPr>
      </w:pPr>
      <w:r>
        <w:rPr>
          <w:rFonts w:hint="eastAsia" w:ascii="仿宋" w:hAnsi="仿宋" w:eastAsia="仿宋" w:cs="仿宋"/>
          <w:color w:val="000000"/>
          <w:spacing w:val="-4"/>
          <w:kern w:val="0"/>
          <w:sz w:val="32"/>
          <w:szCs w:val="32"/>
          <w:lang w:val="en-US"/>
        </w:rPr>
        <w:t>1、</w:t>
      </w:r>
      <w:r>
        <w:rPr>
          <w:rFonts w:hint="eastAsia" w:ascii="仿宋" w:hAnsi="仿宋" w:eastAsia="仿宋" w:cs="仿宋"/>
          <w:color w:val="000000"/>
          <w:spacing w:val="-4"/>
          <w:kern w:val="0"/>
          <w:sz w:val="32"/>
          <w:szCs w:val="32"/>
        </w:rPr>
        <w:t>财源结构单一，财政压力大，基层突发事件频繁，但可用财力不足。</w:t>
      </w:r>
    </w:p>
    <w:p>
      <w:pPr>
        <w:spacing w:line="360" w:lineRule="auto"/>
        <w:ind w:firstLine="624" w:firstLineChars="200"/>
        <w:rPr>
          <w:rFonts w:ascii="仿宋" w:hAnsi="仿宋" w:eastAsia="仿宋" w:cs="仿宋"/>
          <w:color w:val="000000"/>
          <w:spacing w:val="-4"/>
          <w:kern w:val="0"/>
          <w:sz w:val="32"/>
          <w:szCs w:val="32"/>
        </w:rPr>
      </w:pPr>
      <w:r>
        <w:rPr>
          <w:rFonts w:hint="eastAsia" w:ascii="仿宋" w:hAnsi="仿宋" w:eastAsia="仿宋" w:cs="仿宋"/>
          <w:color w:val="000000"/>
          <w:spacing w:val="-4"/>
          <w:kern w:val="0"/>
          <w:sz w:val="32"/>
          <w:szCs w:val="32"/>
        </w:rPr>
        <w:t>2、</w:t>
      </w:r>
      <w:r>
        <w:rPr>
          <w:rFonts w:ascii="仿宋" w:hAnsi="仿宋" w:eastAsia="仿宋" w:cs="仿宋"/>
          <w:color w:val="000000"/>
          <w:spacing w:val="-4"/>
          <w:kern w:val="0"/>
          <w:sz w:val="32"/>
          <w:szCs w:val="32"/>
        </w:rPr>
        <w:t>业务经费年初预算安排不足。由于预算安排不足，缺口资金只能调剂其他资金使用。</w:t>
      </w:r>
    </w:p>
    <w:p>
      <w:pPr>
        <w:spacing w:line="360" w:lineRule="auto"/>
        <w:ind w:firstLine="624" w:firstLineChars="200"/>
        <w:rPr>
          <w:rFonts w:ascii="仿宋" w:hAnsi="仿宋" w:eastAsia="仿宋" w:cs="仿宋"/>
          <w:color w:val="000000"/>
          <w:spacing w:val="-4"/>
          <w:kern w:val="0"/>
          <w:sz w:val="32"/>
          <w:szCs w:val="32"/>
        </w:rPr>
      </w:pPr>
      <w:r>
        <w:rPr>
          <w:rFonts w:hint="eastAsia" w:ascii="仿宋" w:hAnsi="仿宋" w:eastAsia="仿宋" w:cs="仿宋"/>
          <w:color w:val="000000"/>
          <w:spacing w:val="-4"/>
          <w:kern w:val="0"/>
          <w:sz w:val="32"/>
          <w:szCs w:val="32"/>
        </w:rPr>
        <w:t>3</w:t>
      </w:r>
      <w:r>
        <w:rPr>
          <w:rFonts w:ascii="仿宋" w:hAnsi="仿宋" w:eastAsia="仿宋" w:cs="仿宋"/>
          <w:color w:val="000000"/>
          <w:spacing w:val="-4"/>
          <w:kern w:val="0"/>
          <w:sz w:val="32"/>
          <w:szCs w:val="32"/>
        </w:rPr>
        <w:t>、年初预算编制不够精细，部分支出超预算。预算编制不够明确和细化，预算编制的合理性需要提高。</w:t>
      </w:r>
    </w:p>
    <w:p>
      <w:pPr>
        <w:pStyle w:val="8"/>
        <w:keepNext w:val="0"/>
        <w:keepLines w:val="0"/>
        <w:pageBreakBefore w:val="0"/>
        <w:widowControl w:val="0"/>
        <w:numPr>
          <w:ilvl w:val="0"/>
          <w:numId w:val="0"/>
        </w:numPr>
        <w:shd w:val="clear" w:color="auto" w:fill="auto"/>
        <w:tabs>
          <w:tab w:val="left" w:pos="886"/>
        </w:tabs>
        <w:kinsoku/>
        <w:wordWrap/>
        <w:overflowPunct/>
        <w:topLinePunct w:val="0"/>
        <w:autoSpaceDE/>
        <w:autoSpaceDN/>
        <w:bidi w:val="0"/>
        <w:adjustRightInd/>
        <w:snapToGrid/>
        <w:spacing w:before="0" w:after="0" w:line="560" w:lineRule="exact"/>
        <w:ind w:right="0" w:rightChars="0" w:firstLine="643" w:firstLineChars="200"/>
        <w:jc w:val="both"/>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eastAsia="zh-CN"/>
        </w:rPr>
        <w:t>七、</w:t>
      </w:r>
      <w:r>
        <w:rPr>
          <w:rFonts w:hint="eastAsia" w:ascii="仿宋_GB2312" w:hAnsi="仿宋_GB2312" w:eastAsia="仿宋_GB2312" w:cs="仿宋_GB2312"/>
          <w:b/>
          <w:bCs/>
          <w:color w:val="000000"/>
          <w:spacing w:val="0"/>
          <w:w w:val="100"/>
          <w:position w:val="0"/>
          <w:sz w:val="32"/>
          <w:szCs w:val="32"/>
        </w:rPr>
        <w:t>改进措施和有关建议</w:t>
      </w:r>
    </w:p>
    <w:p>
      <w:pPr>
        <w:pStyle w:val="8"/>
        <w:tabs>
          <w:tab w:val="left" w:pos="886"/>
        </w:tabs>
        <w:spacing w:line="360" w:lineRule="auto"/>
        <w:ind w:firstLine="624" w:firstLineChars="200"/>
        <w:rPr>
          <w:rFonts w:ascii="仿宋" w:hAnsi="仿宋" w:eastAsia="仿宋" w:cs="仿宋"/>
          <w:b/>
          <w:color w:val="000000"/>
          <w:spacing w:val="-4"/>
          <w:kern w:val="0"/>
          <w:sz w:val="32"/>
          <w:szCs w:val="32"/>
        </w:rPr>
      </w:pPr>
      <w:r>
        <w:rPr>
          <w:rFonts w:hint="eastAsia" w:ascii="仿宋" w:hAnsi="仿宋" w:eastAsia="仿宋" w:cs="仿宋"/>
          <w:bCs/>
          <w:color w:val="000000"/>
          <w:spacing w:val="-4"/>
          <w:kern w:val="0"/>
          <w:sz w:val="32"/>
          <w:szCs w:val="32"/>
          <w:lang w:eastAsia="zh-CN"/>
        </w:rPr>
        <w:t>（</w:t>
      </w:r>
      <w:r>
        <w:rPr>
          <w:rFonts w:hint="eastAsia" w:ascii="仿宋" w:hAnsi="仿宋" w:eastAsia="仿宋" w:cs="仿宋"/>
          <w:bCs/>
          <w:color w:val="000000"/>
          <w:spacing w:val="-4"/>
          <w:kern w:val="0"/>
          <w:sz w:val="32"/>
          <w:szCs w:val="32"/>
        </w:rPr>
        <w:t>一）加强财源建设。</w:t>
      </w:r>
      <w:r>
        <w:rPr>
          <w:rFonts w:hint="eastAsia" w:ascii="仿宋" w:hAnsi="仿宋" w:eastAsia="仿宋" w:cs="仿宋"/>
          <w:color w:val="000000"/>
          <w:spacing w:val="-4"/>
          <w:kern w:val="0"/>
          <w:sz w:val="32"/>
          <w:szCs w:val="32"/>
        </w:rPr>
        <w:t>着力推进项目建设，以规范项目建设为东风，大力发展特色经济,培植财源项目,增强财政后劲力。</w:t>
      </w:r>
    </w:p>
    <w:p>
      <w:pPr>
        <w:widowControl/>
        <w:shd w:val="clear" w:color="auto" w:fill="FFFFFF"/>
        <w:spacing w:line="360" w:lineRule="auto"/>
        <w:ind w:firstLine="624" w:firstLineChars="200"/>
        <w:rPr>
          <w:rFonts w:ascii="仿宋" w:hAnsi="仿宋" w:eastAsia="仿宋" w:cs="仿宋"/>
          <w:color w:val="000000"/>
          <w:spacing w:val="-4"/>
          <w:kern w:val="0"/>
          <w:sz w:val="32"/>
          <w:szCs w:val="32"/>
        </w:rPr>
      </w:pPr>
      <w:r>
        <w:rPr>
          <w:rFonts w:hint="eastAsia" w:ascii="仿宋" w:hAnsi="仿宋" w:eastAsia="仿宋" w:cs="仿宋"/>
          <w:bCs/>
          <w:color w:val="000000"/>
          <w:spacing w:val="-4"/>
          <w:kern w:val="0"/>
          <w:sz w:val="32"/>
          <w:szCs w:val="32"/>
        </w:rPr>
        <w:t>（二）继续加强财政管理。</w:t>
      </w:r>
      <w:r>
        <w:rPr>
          <w:rFonts w:hint="eastAsia" w:ascii="仿宋" w:hAnsi="仿宋" w:eastAsia="仿宋" w:cs="仿宋"/>
          <w:color w:val="000000"/>
          <w:spacing w:val="-4"/>
          <w:kern w:val="0"/>
          <w:sz w:val="32"/>
          <w:szCs w:val="32"/>
        </w:rPr>
        <w:t>继续加强财政资金，特别是专项资金的管理与使用，实行严格的集中采购制度，提高资金使用效益，确保各项财政精细化、科学化管理措施落在实处，全力打造公共财政、阳光财政。</w:t>
      </w:r>
    </w:p>
    <w:p>
      <w:pPr>
        <w:pStyle w:val="8"/>
        <w:keepNext w:val="0"/>
        <w:keepLines w:val="0"/>
        <w:pageBreakBefore w:val="0"/>
        <w:widowControl w:val="0"/>
        <w:numPr>
          <w:ilvl w:val="0"/>
          <w:numId w:val="0"/>
        </w:numPr>
        <w:shd w:val="clear" w:color="auto" w:fill="auto"/>
        <w:tabs>
          <w:tab w:val="left" w:pos="886"/>
        </w:tabs>
        <w:kinsoku/>
        <w:wordWrap/>
        <w:overflowPunct/>
        <w:topLinePunct w:val="0"/>
        <w:autoSpaceDE/>
        <w:autoSpaceDN/>
        <w:bidi w:val="0"/>
        <w:adjustRightInd/>
        <w:snapToGrid/>
        <w:spacing w:before="0" w:after="0" w:line="560" w:lineRule="exact"/>
        <w:ind w:right="0" w:rightChars="0" w:firstLine="643" w:firstLineChars="200"/>
        <w:jc w:val="both"/>
        <w:textAlignment w:val="auto"/>
        <w:rPr>
          <w:rFonts w:hint="eastAsia" w:ascii="仿宋_GB2312" w:hAnsi="仿宋_GB2312" w:eastAsia="仿宋_GB2312" w:cs="仿宋_GB2312"/>
          <w:b/>
          <w:bCs/>
          <w:color w:val="000000"/>
          <w:spacing w:val="0"/>
          <w:w w:val="100"/>
          <w:positio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1E7F6B"/>
    <w:multiLevelType w:val="singleLevel"/>
    <w:tmpl w:val="F51E7F6B"/>
    <w:lvl w:ilvl="0" w:tentative="0">
      <w:start w:val="1"/>
      <w:numFmt w:val="decimal"/>
      <w:suff w:val="nothing"/>
      <w:lvlText w:val="%1、"/>
      <w:lvlJc w:val="left"/>
    </w:lvl>
  </w:abstractNum>
  <w:abstractNum w:abstractNumId="1">
    <w:nsid w:val="42E2E3B6"/>
    <w:multiLevelType w:val="singleLevel"/>
    <w:tmpl w:val="42E2E3B6"/>
    <w:lvl w:ilvl="0" w:tentative="0">
      <w:start w:val="4"/>
      <w:numFmt w:val="chineseCounting"/>
      <w:suff w:val="nothing"/>
      <w:lvlText w:val="%1、"/>
      <w:lvlJc w:val="left"/>
      <w:rPr>
        <w:rFonts w:hint="eastAsia"/>
      </w:rPr>
    </w:lvl>
  </w:abstractNum>
  <w:abstractNum w:abstractNumId="2">
    <w:nsid w:val="4D1065E1"/>
    <w:multiLevelType w:val="singleLevel"/>
    <w:tmpl w:val="4D1065E1"/>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MWEyNWNjYmNhZjgzZGExNjllZTU0YTU2MWY0NGEifQ=="/>
  </w:docVars>
  <w:rsids>
    <w:rsidRoot w:val="00000000"/>
    <w:rsid w:val="018F5DCE"/>
    <w:rsid w:val="3500231B"/>
    <w:rsid w:val="37E00531"/>
    <w:rsid w:val="3950292F"/>
    <w:rsid w:val="3D1745D8"/>
    <w:rsid w:val="48623B31"/>
    <w:rsid w:val="52461FD5"/>
    <w:rsid w:val="525507AA"/>
    <w:rsid w:val="52F83A10"/>
    <w:rsid w:val="6E2B2A93"/>
    <w:rsid w:val="71267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Arial Unicode MS"/>
    </w:rPr>
  </w:style>
  <w:style w:type="paragraph" w:customStyle="1" w:styleId="5">
    <w:name w:val="Body text|3"/>
    <w:basedOn w:val="1"/>
    <w:qFormat/>
    <w:uiPriority w:val="0"/>
    <w:pPr>
      <w:widowControl w:val="0"/>
      <w:shd w:val="clear" w:color="auto" w:fill="auto"/>
      <w:spacing w:before="220" w:after="720"/>
      <w:ind w:firstLine="520"/>
    </w:pPr>
    <w:rPr>
      <w:sz w:val="32"/>
      <w:szCs w:val="32"/>
      <w:u w:val="none"/>
      <w:shd w:val="clear" w:color="auto" w:fill="auto"/>
    </w:rPr>
  </w:style>
  <w:style w:type="paragraph" w:customStyle="1" w:styleId="6">
    <w:name w:val="Other|1"/>
    <w:basedOn w:val="1"/>
    <w:qFormat/>
    <w:uiPriority w:val="0"/>
    <w:pPr>
      <w:widowControl w:val="0"/>
      <w:shd w:val="clear" w:color="auto" w:fill="auto"/>
      <w:spacing w:line="302" w:lineRule="exact"/>
    </w:pPr>
    <w:rPr>
      <w:rFonts w:ascii="宋体" w:hAnsi="宋体" w:eastAsia="宋体" w:cs="宋体"/>
      <w:sz w:val="19"/>
      <w:szCs w:val="19"/>
      <w:u w:val="none"/>
      <w:shd w:val="clear" w:color="auto" w:fill="auto"/>
      <w:lang w:val="zh-CN" w:eastAsia="zh-CN" w:bidi="zh-CN"/>
    </w:rPr>
  </w:style>
  <w:style w:type="paragraph" w:customStyle="1" w:styleId="7">
    <w:name w:val="Heading #2|1"/>
    <w:basedOn w:val="1"/>
    <w:qFormat/>
    <w:uiPriority w:val="0"/>
    <w:pPr>
      <w:widowControl w:val="0"/>
      <w:shd w:val="clear" w:color="auto" w:fill="auto"/>
      <w:spacing w:after="300"/>
      <w:jc w:val="center"/>
      <w:outlineLvl w:val="1"/>
    </w:pPr>
    <w:rPr>
      <w:rFonts w:ascii="宋体" w:hAnsi="宋体" w:eastAsia="宋体" w:cs="宋体"/>
      <w:sz w:val="44"/>
      <w:szCs w:val="44"/>
      <w:u w:val="none"/>
      <w:shd w:val="clear" w:color="auto" w:fill="auto"/>
      <w:lang w:val="zh-CN" w:eastAsia="zh-CN" w:bidi="zh-CN"/>
    </w:rPr>
  </w:style>
  <w:style w:type="paragraph" w:customStyle="1" w:styleId="8">
    <w:name w:val="Body text|1"/>
    <w:basedOn w:val="1"/>
    <w:qFormat/>
    <w:uiPriority w:val="0"/>
    <w:pPr>
      <w:widowControl w:val="0"/>
      <w:shd w:val="clear" w:color="auto" w:fill="auto"/>
      <w:spacing w:line="408" w:lineRule="auto"/>
      <w:ind w:firstLine="400"/>
    </w:pPr>
    <w:rPr>
      <w:rFonts w:ascii="宋体" w:hAnsi="宋体" w:eastAsia="宋体" w:cs="宋体"/>
      <w:sz w:val="19"/>
      <w:szCs w:val="19"/>
      <w:u w:val="none"/>
      <w:shd w:val="clear" w:color="auto" w:fill="auto"/>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3279</Words>
  <Characters>3461</Characters>
  <Lines>0</Lines>
  <Paragraphs>0</Paragraphs>
  <TotalTime>0</TotalTime>
  <ScaleCrop>false</ScaleCrop>
  <LinksUpToDate>false</LinksUpToDate>
  <CharactersWithSpaces>3568</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2022-10-25T09:19:00Z</dcterms:created>
  <dc:creator>Administrator</dc:creator>
  <cp:lastModifiedBy>芷儿刘</cp:lastModifiedBy>
  <dcterms:modified xsi:type="dcterms:W3CDTF">2022-10-31T01:53:58Z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962492CB64C94637923073D9F77FDF1C</vt:lpwstr>
  </property>
</Properties>
</file>