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w:t>
      </w: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门</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整体支出绩效评价指标表</w:t>
      </w:r>
    </w:p>
    <w:tbl>
      <w:tblPr>
        <w:tblStyle w:val="2"/>
        <w:tblW w:w="9872" w:type="dxa"/>
        <w:jc w:val="center"/>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CellMar>
            <w:top w:w="0" w:type="dxa"/>
            <w:left w:w="10" w:type="dxa"/>
            <w:bottom w:w="0" w:type="dxa"/>
            <w:right w:w="10" w:type="dxa"/>
          </w:tblCellMar>
        </w:tblPrEx>
        <w:trPr>
          <w:trHeight w:val="1272" w:hRule="exact"/>
          <w:jc w:val="center"/>
        </w:trPr>
        <w:tc>
          <w:tcPr>
            <w:tcW w:w="349"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43"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66"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二</w:t>
            </w:r>
            <w:r>
              <w:rPr>
                <w:rFonts w:hint="eastAsia" w:ascii="宋体" w:hAnsi="宋体" w:eastAsia="宋体" w:cs="宋体"/>
                <w:color w:val="000000"/>
                <w:spacing w:val="0"/>
                <w:w w:val="100"/>
                <w:position w:val="0"/>
                <w:sz w:val="18"/>
                <w:szCs w:val="18"/>
              </w:rPr>
              <w:t>级 指 标</w:t>
            </w:r>
          </w:p>
        </w:tc>
        <w:tc>
          <w:tcPr>
            <w:tcW w:w="66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3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317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32"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2148" w:hRule="exact"/>
          <w:jc w:val="center"/>
        </w:trPr>
        <w:tc>
          <w:tcPr>
            <w:tcW w:w="34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投</w:t>
            </w:r>
          </w:p>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入</w:t>
            </w:r>
          </w:p>
        </w:tc>
        <w:tc>
          <w:tcPr>
            <w:tcW w:w="543"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366"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0"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配 置</w:t>
            </w:r>
          </w:p>
        </w:tc>
        <w:tc>
          <w:tcPr>
            <w:tcW w:w="666"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93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为标准。在职人员 控制率</w:t>
            </w:r>
            <w:r>
              <w:rPr>
                <w:rFonts w:hint="eastAsia" w:ascii="宋体" w:hAnsi="宋体" w:eastAsia="宋体" w:cs="宋体"/>
                <w:b/>
                <w:bCs/>
                <w:color w:val="000000"/>
                <w:spacing w:val="0"/>
                <w:w w:val="100"/>
                <w:position w:val="0"/>
                <w:sz w:val="18"/>
                <w:szCs w:val="18"/>
                <w:lang w:val="en-US" w:eastAsia="en-US" w:bidi="en-US"/>
              </w:rPr>
              <w:t xml:space="preserve">≦ </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分；每 超过一个百分点扣</w:t>
            </w:r>
            <w:r>
              <w:rPr>
                <w:rFonts w:hint="eastAsia" w:ascii="宋体" w:hAnsi="宋体" w:eastAsia="宋体" w:cs="宋体"/>
                <w:b/>
                <w:bCs/>
                <w:color w:val="000000"/>
                <w:spacing w:val="0"/>
                <w:w w:val="100"/>
                <w:position w:val="0"/>
                <w:sz w:val="18"/>
                <w:szCs w:val="18"/>
                <w:lang w:val="en-US" w:eastAsia="en-US" w:bidi="en-US"/>
              </w:rPr>
              <w:t>0.5</w:t>
            </w:r>
            <w:r>
              <w:rPr>
                <w:rFonts w:hint="eastAsia" w:ascii="宋体" w:hAnsi="宋体" w:eastAsia="宋体" w:cs="宋体"/>
                <w:color w:val="000000"/>
                <w:spacing w:val="0"/>
                <w:w w:val="100"/>
                <w:position w:val="0"/>
                <w:sz w:val="18"/>
                <w:szCs w:val="18"/>
              </w:rPr>
              <w:t>分， 扣完为止。</w:t>
            </w:r>
          </w:p>
        </w:tc>
        <w:tc>
          <w:tcPr>
            <w:tcW w:w="317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在职人员控制率=（在职人员数/ 编制数）×</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rPr>
              <w:t>在职人员数： 部门（单位）实际在职人数，以财政部门确定的部门决算编制口径为准。</w:t>
            </w:r>
          </w:p>
          <w:p>
            <w:pPr>
              <w:pStyle w:val="5"/>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编制数：机构编制部门核定批复的部门（单位）的人员编制数。</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551"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8"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r>
              <w:rPr>
                <w:rFonts w:hint="eastAsia" w:ascii="宋体" w:hAnsi="宋体" w:eastAsia="宋体" w:cs="宋体"/>
                <w:b/>
                <w:bCs/>
                <w:color w:val="000000"/>
                <w:spacing w:val="0"/>
                <w:w w:val="100"/>
                <w:position w:val="0"/>
                <w:sz w:val="18"/>
                <w:szCs w:val="18"/>
                <w:lang w:val="en-US" w:eastAsia="en-US" w:bidi="en-US"/>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 xml:space="preserve">8 </w:t>
            </w:r>
            <w:r>
              <w:rPr>
                <w:rFonts w:hint="eastAsia" w:ascii="宋体" w:hAnsi="宋体" w:eastAsia="宋体" w:cs="宋体"/>
                <w:color w:val="000000"/>
                <w:spacing w:val="0"/>
                <w:w w:val="100"/>
                <w:position w:val="0"/>
                <w:sz w:val="18"/>
                <w:szCs w:val="18"/>
              </w:rPr>
              <w:t>分；“三公经费</w:t>
            </w:r>
            <w:r>
              <w:rPr>
                <w:rFonts w:hint="eastAsia" w:ascii="宋体" w:hAnsi="宋体" w:eastAsia="宋体" w:cs="宋体"/>
                <w:b/>
                <w:bCs/>
                <w:color w:val="000000"/>
                <w:spacing w:val="0"/>
                <w:w w:val="100"/>
                <w:position w:val="0"/>
                <w:sz w:val="18"/>
                <w:szCs w:val="18"/>
              </w:rPr>
              <w:t>”&gt;0,</w:t>
            </w:r>
            <w:r>
              <w:rPr>
                <w:rFonts w:hint="eastAsia" w:ascii="宋体" w:hAnsi="宋体" w:eastAsia="宋体" w:cs="宋体"/>
                <w:color w:val="000000"/>
                <w:spacing w:val="0"/>
                <w:w w:val="100"/>
                <w:position w:val="0"/>
                <w:sz w:val="18"/>
                <w:szCs w:val="18"/>
              </w:rPr>
              <w:t>每超过 一个百分点扣</w:t>
            </w:r>
            <w:r>
              <w:rPr>
                <w:rFonts w:hint="eastAsia" w:ascii="宋体" w:hAnsi="宋体" w:eastAsia="宋体" w:cs="宋体"/>
                <w:b/>
                <w:bCs/>
                <w:color w:val="000000"/>
                <w:spacing w:val="0"/>
                <w:w w:val="100"/>
                <w:position w:val="0"/>
                <w:sz w:val="18"/>
                <w:szCs w:val="18"/>
                <w:lang w:val="en-US" w:eastAsia="en-US" w:bidi="en-US"/>
              </w:rPr>
              <w:t>0.8</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“在公经费”变动率=［（本年度“三 公经费”预算数-上年度“三公经 费"预算数）/上年度“三公经费” 预算数</w:t>
            </w:r>
            <w:r>
              <w:rPr>
                <w:rFonts w:hint="eastAsia" w:ascii="宋体" w:hAnsi="宋体" w:eastAsia="宋体" w:cs="宋体"/>
                <w:b/>
                <w:bCs/>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rPr>
              <w:t>×</w:t>
            </w:r>
            <w:r>
              <w:rPr>
                <w:rFonts w:hint="eastAsia" w:ascii="宋体" w:hAnsi="宋体" w:eastAsia="宋体" w:cs="宋体"/>
                <w:b/>
                <w:bCs/>
                <w:color w:val="000000"/>
                <w:spacing w:val="0"/>
                <w:w w:val="100"/>
                <w:position w:val="0"/>
                <w:sz w:val="18"/>
                <w:szCs w:val="18"/>
                <w:lang w:val="en-US" w:eastAsia="en-US" w:bidi="en-US"/>
              </w:rPr>
              <w:t>100%</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268" w:hRule="exact"/>
          <w:jc w:val="center"/>
        </w:trPr>
        <w:tc>
          <w:tcPr>
            <w:tcW w:w="34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43"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366"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执 行</w:t>
            </w:r>
          </w:p>
        </w:tc>
        <w:tc>
          <w:tcPr>
            <w:tcW w:w="666"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20</w:t>
            </w:r>
          </w:p>
        </w:tc>
        <w:tc>
          <w:tcPr>
            <w:tcW w:w="93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预算完成率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计满分，每低于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预算完成率=（上年结转+年初预 算+本年追加预算一年末结余/上年结转+年初预算+本年追加预 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950"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w:t>
            </w:r>
          </w:p>
          <w:p>
            <w:pPr>
              <w:pStyle w:val="5"/>
              <w:keepNext w:val="0"/>
              <w:keepLines w:val="0"/>
              <w:widowControl w:val="0"/>
              <w:shd w:val="clear" w:color="auto" w:fill="auto"/>
              <w:bidi w:val="0"/>
              <w:spacing w:before="0" w:after="0" w:line="312" w:lineRule="exact"/>
              <w:ind w:left="200" w:right="0" w:hanging="200"/>
              <w:jc w:val="both"/>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0-10% </w:t>
            </w:r>
            <w:r>
              <w:rPr>
                <w:rFonts w:hint="eastAsia" w:ascii="宋体" w:hAnsi="宋体" w:eastAsia="宋体" w:cs="宋体"/>
                <w:color w:val="000000"/>
                <w:spacing w:val="0"/>
                <w:w w:val="100"/>
                <w:position w:val="0"/>
                <w:sz w:val="18"/>
                <w:szCs w:val="18"/>
              </w:rPr>
              <w:t xml:space="preserve">（含），计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5"/>
              <w:keepNext w:val="0"/>
              <w:keepLines w:val="0"/>
              <w:widowControl w:val="0"/>
              <w:shd w:val="clear" w:color="auto" w:fill="auto"/>
              <w:bidi w:val="0"/>
              <w:spacing w:before="0" w:after="0" w:line="312" w:lineRule="exact"/>
              <w:ind w:left="200" w:right="0" w:hanging="200"/>
              <w:jc w:val="both"/>
              <w:rPr>
                <w:rFonts w:hint="eastAsia" w:cs="宋体"/>
                <w:b/>
                <w:bCs/>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10-20% </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 xml:space="preserve">3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w:t>
            </w:r>
            <w:r>
              <w:rPr>
                <w:rFonts w:hint="eastAsia" w:cs="宋体"/>
                <w:b/>
                <w:bCs/>
                <w:color w:val="000000"/>
                <w:spacing w:val="0"/>
                <w:w w:val="100"/>
                <w:position w:val="0"/>
                <w:sz w:val="18"/>
                <w:szCs w:val="18"/>
                <w:lang w:val="en-US" w:eastAsia="zh-CN"/>
              </w:rPr>
              <w:t xml:space="preserve"> </w:t>
            </w:r>
          </w:p>
          <w:p>
            <w:pPr>
              <w:pStyle w:val="5"/>
              <w:keepNext w:val="0"/>
              <w:keepLines w:val="0"/>
              <w:widowControl w:val="0"/>
              <w:shd w:val="clear" w:color="auto" w:fill="auto"/>
              <w:bidi w:val="0"/>
              <w:spacing w:before="0" w:after="0" w:line="312" w:lineRule="exact"/>
              <w:ind w:left="200" w:right="0" w:hanging="200"/>
              <w:jc w:val="both"/>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20-30%（</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5"/>
              <w:keepNext w:val="0"/>
              <w:keepLines w:val="0"/>
              <w:widowControl w:val="0"/>
              <w:shd w:val="clear" w:color="auto" w:fill="auto"/>
              <w:bidi w:val="0"/>
              <w:spacing w:before="0" w:after="0" w:line="312" w:lineRule="exact"/>
              <w:ind w:left="200" w:right="0" w:hanging="20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大于</w:t>
            </w:r>
            <w:r>
              <w:rPr>
                <w:rFonts w:hint="eastAsia" w:ascii="宋体" w:hAnsi="宋体" w:eastAsia="宋体" w:cs="宋体"/>
                <w:b/>
                <w:bCs/>
                <w:color w:val="000000"/>
                <w:spacing w:val="0"/>
                <w:w w:val="100"/>
                <w:position w:val="0"/>
                <w:sz w:val="18"/>
                <w:szCs w:val="18"/>
              </w:rPr>
              <w:t>30%</w:t>
            </w:r>
            <w:r>
              <w:rPr>
                <w:rFonts w:hint="eastAsia" w:ascii="宋体" w:hAnsi="宋体" w:eastAsia="宋体" w:cs="宋体"/>
                <w:color w:val="000000"/>
                <w:spacing w:val="0"/>
                <w:w w:val="100"/>
                <w:position w:val="0"/>
                <w:sz w:val="18"/>
                <w:szCs w:val="18"/>
              </w:rPr>
              <w:t>不得分</w:t>
            </w:r>
          </w:p>
        </w:tc>
        <w:tc>
          <w:tcPr>
            <w:tcW w:w="317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预算控制率=（本年追加预算/年 初预算）×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702"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新建楼堂馆所面积控 制率</w:t>
            </w:r>
          </w:p>
        </w:tc>
        <w:tc>
          <w:tcPr>
            <w:tcW w:w="39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 没有楼堂馆所项目的部门按满分计算</w:t>
            </w:r>
          </w:p>
        </w:tc>
        <w:tc>
          <w:tcPr>
            <w:tcW w:w="317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楼堂馆所面积控制率=实际建设面积/批准建设面积×</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ascii="宋体" w:hAnsi="宋体" w:eastAsia="宋体" w:cs="宋体"/>
                <w:b/>
                <w:bCs/>
                <w:color w:val="000000"/>
                <w:spacing w:val="0"/>
                <w:w w:val="100"/>
                <w:position w:val="0"/>
                <w:sz w:val="18"/>
                <w:szCs w:val="18"/>
              </w:rPr>
              <w:t xml:space="preserve">= </w:t>
            </w:r>
            <w:r>
              <w:rPr>
                <w:rFonts w:hint="eastAsia" w:ascii="宋体" w:hAnsi="宋体" w:eastAsia="宋体" w:cs="宋体"/>
                <w:color w:val="000000"/>
                <w:spacing w:val="0"/>
                <w:w w:val="100"/>
                <w:position w:val="0"/>
                <w:sz w:val="18"/>
                <w:szCs w:val="18"/>
              </w:rPr>
              <w:t>该指标以</w:t>
            </w:r>
            <w:r>
              <w:rPr>
                <w:rFonts w:hint="eastAsia" w:cs="宋体"/>
                <w:b/>
                <w:bCs/>
                <w:color w:val="000000"/>
                <w:spacing w:val="0"/>
                <w:w w:val="100"/>
                <w:position w:val="0"/>
                <w:sz w:val="18"/>
                <w:szCs w:val="18"/>
                <w:lang w:val="en-US" w:eastAsia="zh-CN"/>
              </w:rPr>
              <w:t>2021</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2203" w:hRule="exact"/>
          <w:jc w:val="center"/>
        </w:trPr>
        <w:tc>
          <w:tcPr>
            <w:tcW w:w="349"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新建楼堂馆所投资概算控制率</w:t>
            </w:r>
          </w:p>
        </w:tc>
        <w:tc>
          <w:tcPr>
            <w:tcW w:w="39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100%以下（含）计满分，每超出5%扣2分，扣完为止。 没有楼堂馆所项目的部门按满分计算</w:t>
            </w:r>
          </w:p>
        </w:tc>
        <w:tc>
          <w:tcPr>
            <w:tcW w:w="317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楼堂馆所投资预算控制率=实际投资金额/批准投资金额 ×</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lang w:val="en-US" w:eastAsia="en-US"/>
              </w:rPr>
              <w:t xml:space="preserve"> </w:t>
            </w:r>
            <w:r>
              <w:rPr>
                <w:rFonts w:hint="eastAsia" w:ascii="宋体" w:hAnsi="宋体" w:eastAsia="宋体" w:cs="宋体"/>
                <w:color w:val="000000"/>
                <w:spacing w:val="0"/>
                <w:w w:val="100"/>
                <w:position w:val="0"/>
                <w:sz w:val="18"/>
                <w:szCs w:val="18"/>
                <w:lang w:val="en-US" w:eastAsia="zh-CN"/>
              </w:rPr>
              <w:t>。</w:t>
            </w:r>
          </w:p>
          <w:p>
            <w:pPr>
              <w:pStyle w:val="5"/>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该指标以20</w:t>
            </w:r>
            <w:r>
              <w:rPr>
                <w:rFonts w:hint="eastAsia" w:cs="宋体"/>
                <w:color w:val="000000"/>
                <w:spacing w:val="0"/>
                <w:w w:val="100"/>
                <w:position w:val="0"/>
                <w:sz w:val="18"/>
                <w:szCs w:val="18"/>
                <w:lang w:val="en-US" w:eastAsia="zh-CN"/>
              </w:rPr>
              <w:t>21</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2"/>
        <w:tblW w:w="9771" w:type="dxa"/>
        <w:jc w:val="center"/>
        <w:tblLayout w:type="fixed"/>
        <w:tblCellMar>
          <w:top w:w="0" w:type="dxa"/>
          <w:left w:w="10" w:type="dxa"/>
          <w:bottom w:w="0" w:type="dxa"/>
          <w:right w:w="10" w:type="dxa"/>
        </w:tblCellMar>
      </w:tblPr>
      <w:tblGrid>
        <w:gridCol w:w="368"/>
        <w:gridCol w:w="524"/>
        <w:gridCol w:w="460"/>
        <w:gridCol w:w="572"/>
        <w:gridCol w:w="916"/>
        <w:gridCol w:w="418"/>
        <w:gridCol w:w="2943"/>
        <w:gridCol w:w="2811"/>
        <w:gridCol w:w="759"/>
      </w:tblGrid>
      <w:tr>
        <w:tblPrEx>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2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460"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572"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1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943"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811"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59"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95" w:hRule="exact"/>
          <w:jc w:val="center"/>
        </w:trPr>
        <w:tc>
          <w:tcPr>
            <w:tcW w:w="368"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24"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46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预</w:t>
            </w:r>
          </w:p>
          <w:p>
            <w:pPr>
              <w:pStyle w:val="5"/>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算</w:t>
            </w:r>
          </w:p>
          <w:p>
            <w:pPr>
              <w:pStyle w:val="5"/>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管</w:t>
            </w:r>
          </w:p>
          <w:p>
            <w:pPr>
              <w:pStyle w:val="5"/>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理</w:t>
            </w:r>
          </w:p>
          <w:p>
            <w:pPr>
              <w:pStyle w:val="5"/>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p>
          <w:p>
            <w:pPr>
              <w:pStyle w:val="5"/>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41</w:t>
            </w:r>
          </w:p>
        </w:tc>
        <w:tc>
          <w:tcPr>
            <w:tcW w:w="91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公用经费控制率</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公用经费控制率=（实际支出公 用经费总额/预算安排公用经费 总额）×</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cs="宋体"/>
                <w:b/>
                <w:bCs/>
                <w:color w:val="000000"/>
                <w:spacing w:val="0"/>
                <w:w w:val="100"/>
                <w:position w:val="0"/>
                <w:sz w:val="18"/>
                <w:szCs w:val="18"/>
                <w:lang w:val="en-US" w:eastAsia="zh-CN" w:bidi="en-US"/>
              </w:rPr>
              <w:t>，</w:t>
            </w:r>
          </w:p>
          <w:p>
            <w:pPr>
              <w:pStyle w:val="5"/>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公用经费支出是指部门基本支出 中的一般商品和服务支出。</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r>
      <w:tr>
        <w:tblPrEx>
          <w:tblCellMar>
            <w:top w:w="0" w:type="dxa"/>
            <w:left w:w="10" w:type="dxa"/>
            <w:bottom w:w="0" w:type="dxa"/>
            <w:right w:w="10" w:type="dxa"/>
          </w:tblCellMar>
        </w:tblPrEx>
        <w:trPr>
          <w:trHeight w:val="1243"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控制率</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“三公经费”控制率</w:t>
            </w:r>
            <w:r>
              <w:rPr>
                <w:rFonts w:hint="eastAsia" w:ascii="宋体" w:hAnsi="宋体" w:eastAsia="宋体" w:cs="宋体"/>
                <w:color w:val="000000"/>
                <w:spacing w:val="0"/>
                <w:w w:val="100"/>
                <w:position w:val="0"/>
                <w:sz w:val="18"/>
                <w:szCs w:val="18"/>
                <w:lang w:val="en-US" w:eastAsia="zh-CN"/>
              </w:rPr>
              <w:t>.</w:t>
            </w:r>
            <w:r>
              <w:rPr>
                <w:rFonts w:hint="eastAsia" w:ascii="宋体" w:hAnsi="宋体" w:eastAsia="宋体" w:cs="宋体"/>
                <w:color w:val="000000"/>
                <w:spacing w:val="0"/>
                <w:w w:val="100"/>
                <w:position w:val="0"/>
                <w:sz w:val="18"/>
                <w:szCs w:val="18"/>
              </w:rPr>
              <w:t>（“三公经费” 实际支出数/“三公经费”预算安 排数）×</w:t>
            </w:r>
            <w:r>
              <w:rPr>
                <w:rFonts w:hint="eastAsia" w:ascii="宋体" w:hAnsi="宋体" w:eastAsia="宋体" w:cs="宋体"/>
                <w:b/>
                <w:bCs/>
                <w:color w:val="000000"/>
                <w:spacing w:val="0"/>
                <w:w w:val="100"/>
                <w:position w:val="0"/>
                <w:sz w:val="18"/>
                <w:szCs w:val="18"/>
                <w:lang w:val="en-US" w:eastAsia="en-US" w:bidi="en-US"/>
              </w:rPr>
              <w:t xml:space="preserve">100% </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030"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943"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计满分，每超过（降低）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政府采购执行率=（实际政府采购金额/政府采购预算数）×</w:t>
            </w:r>
            <w:r>
              <w:rPr>
                <w:rFonts w:hint="eastAsia" w:ascii="宋体" w:hAnsi="宋体" w:eastAsia="宋体" w:cs="宋体"/>
                <w:b/>
                <w:bCs/>
                <w:color w:val="000000"/>
                <w:spacing w:val="0"/>
                <w:w w:val="100"/>
                <w:position w:val="0"/>
                <w:sz w:val="18"/>
                <w:szCs w:val="18"/>
                <w:lang w:val="en-US" w:eastAsia="en-US" w:bidi="en-US"/>
              </w:rPr>
              <w:t>100%</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r>
      <w:tr>
        <w:tblPrEx>
          <w:tblCellMar>
            <w:top w:w="0" w:type="dxa"/>
            <w:left w:w="10" w:type="dxa"/>
            <w:bottom w:w="0" w:type="dxa"/>
            <w:right w:w="10" w:type="dxa"/>
          </w:tblCellMar>
        </w:tblPrEx>
        <w:trPr>
          <w:trHeight w:val="2112"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管理制度健全性</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1、</w:t>
            </w:r>
            <w:r>
              <w:rPr>
                <w:rFonts w:hint="eastAsia" w:ascii="宋体" w:hAnsi="宋体" w:eastAsia="宋体" w:cs="宋体"/>
                <w:b w:val="0"/>
                <w:bCs w:val="0"/>
                <w:color w:val="000000"/>
                <w:spacing w:val="0"/>
                <w:w w:val="100"/>
                <w:position w:val="0"/>
                <w:sz w:val="18"/>
                <w:szCs w:val="18"/>
              </w:rPr>
              <w:t>有内部财务管理制度、会计核算制度等管理制度，2 分；</w:t>
            </w:r>
          </w:p>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2、</w:t>
            </w:r>
            <w:r>
              <w:rPr>
                <w:rFonts w:hint="eastAsia" w:ascii="宋体" w:hAnsi="宋体" w:eastAsia="宋体" w:cs="宋体"/>
                <w:b w:val="0"/>
                <w:bCs w:val="0"/>
                <w:color w:val="000000"/>
                <w:spacing w:val="0"/>
                <w:w w:val="100"/>
                <w:position w:val="0"/>
                <w:sz w:val="18"/>
                <w:szCs w:val="18"/>
              </w:rPr>
              <w:t>有本部门厉行节约制度,2分；</w:t>
            </w:r>
          </w:p>
          <w:p>
            <w:pPr>
              <w:pStyle w:val="5"/>
              <w:keepNext w:val="0"/>
              <w:keepLines w:val="0"/>
              <w:widowControl w:val="0"/>
              <w:shd w:val="clear" w:color="auto" w:fill="auto"/>
              <w:bidi w:val="0"/>
              <w:spacing w:before="0" w:after="0" w:line="307" w:lineRule="exact"/>
              <w:ind w:left="0" w:right="0" w:firstLine="0"/>
              <w:jc w:val="left"/>
              <w:rPr>
                <w:rFonts w:hint="eastAsia" w:cs="宋体"/>
                <w:b w:val="0"/>
                <w:bCs w:val="0"/>
                <w:color w:val="000000"/>
                <w:spacing w:val="0"/>
                <w:w w:val="100"/>
                <w:position w:val="0"/>
                <w:sz w:val="18"/>
                <w:szCs w:val="18"/>
                <w:lang w:val="en-US" w:eastAsia="zh-CN"/>
              </w:rPr>
            </w:pPr>
            <w:r>
              <w:rPr>
                <w:rFonts w:hint="eastAsia" w:ascii="宋体" w:hAnsi="宋体" w:eastAsia="宋体" w:cs="宋体"/>
                <w:b w:val="0"/>
                <w:bCs w:val="0"/>
                <w:color w:val="000000"/>
                <w:spacing w:val="0"/>
                <w:w w:val="100"/>
                <w:position w:val="0"/>
                <w:sz w:val="18"/>
                <w:szCs w:val="18"/>
                <w:lang w:val="en-US" w:eastAsia="zh-CN"/>
              </w:rPr>
              <w:t>3、</w:t>
            </w:r>
            <w:r>
              <w:rPr>
                <w:rFonts w:hint="eastAsia" w:ascii="宋体" w:hAnsi="宋体" w:eastAsia="宋体" w:cs="宋体"/>
                <w:b w:val="0"/>
                <w:bCs w:val="0"/>
                <w:color w:val="000000"/>
                <w:spacing w:val="0"/>
                <w:w w:val="100"/>
                <w:position w:val="0"/>
                <w:sz w:val="18"/>
                <w:szCs w:val="18"/>
              </w:rPr>
              <w:t>相关管理制度合法、合规、完整，2分；</w:t>
            </w:r>
            <w:r>
              <w:rPr>
                <w:rFonts w:hint="eastAsia" w:cs="宋体"/>
                <w:b w:val="0"/>
                <w:bCs w:val="0"/>
                <w:color w:val="000000"/>
                <w:spacing w:val="0"/>
                <w:w w:val="100"/>
                <w:position w:val="0"/>
                <w:sz w:val="18"/>
                <w:szCs w:val="18"/>
                <w:lang w:val="en-US" w:eastAsia="zh-CN"/>
              </w:rPr>
              <w:t xml:space="preserve"> </w:t>
            </w:r>
          </w:p>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4、</w:t>
            </w:r>
            <w:r>
              <w:rPr>
                <w:rFonts w:hint="eastAsia" w:ascii="宋体" w:hAnsi="宋体" w:eastAsia="宋体" w:cs="宋体"/>
                <w:b w:val="0"/>
                <w:bCs w:val="0"/>
                <w:color w:val="000000"/>
                <w:spacing w:val="0"/>
                <w:w w:val="100"/>
                <w:position w:val="0"/>
                <w:sz w:val="18"/>
                <w:szCs w:val="18"/>
              </w:rPr>
              <w:t>相关管理制度得到有效执行，2分。</w:t>
            </w:r>
          </w:p>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p>
        </w:tc>
        <w:tc>
          <w:tcPr>
            <w:tcW w:w="2811"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3451"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资金使用合规性</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943" w:type="dxa"/>
            <w:tcBorders>
              <w:top w:val="single" w:color="auto" w:sz="4" w:space="0"/>
              <w:left w:val="single" w:color="auto" w:sz="4" w:space="0"/>
            </w:tcBorders>
            <w:shd w:val="clear" w:color="auto" w:fill="FFFFFF"/>
            <w:noWrap w:val="0"/>
            <w:vAlign w:val="bottom"/>
          </w:tcPr>
          <w:p>
            <w:pPr>
              <w:pStyle w:val="5"/>
              <w:keepNext w:val="0"/>
              <w:keepLines w:val="0"/>
              <w:widowControl w:val="0"/>
              <w:numPr>
                <w:ilvl w:val="0"/>
                <w:numId w:val="0"/>
              </w:numPr>
              <w:shd w:val="clear" w:color="auto" w:fill="auto"/>
              <w:tabs>
                <w:tab w:val="left" w:pos="21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1、</w:t>
            </w:r>
            <w:r>
              <w:rPr>
                <w:rFonts w:hint="eastAsia" w:ascii="宋体" w:hAnsi="宋体" w:eastAsia="宋体" w:cs="宋体"/>
                <w:color w:val="000000"/>
                <w:spacing w:val="0"/>
                <w:w w:val="100"/>
                <w:position w:val="0"/>
                <w:sz w:val="18"/>
                <w:szCs w:val="18"/>
              </w:rPr>
              <w:t>支出符合国家财经法规和财务管理制度规定以及有关专项资金管理办法的规定；</w:t>
            </w:r>
          </w:p>
          <w:p>
            <w:pPr>
              <w:pStyle w:val="5"/>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2、</w:t>
            </w:r>
            <w:r>
              <w:rPr>
                <w:rFonts w:hint="eastAsia" w:ascii="宋体" w:hAnsi="宋体" w:eastAsia="宋体" w:cs="宋体"/>
                <w:color w:val="000000"/>
                <w:spacing w:val="0"/>
                <w:w w:val="100"/>
                <w:position w:val="0"/>
                <w:sz w:val="18"/>
                <w:szCs w:val="18"/>
              </w:rPr>
              <w:t>资金拨付有完整的审批程序和手续；</w:t>
            </w:r>
          </w:p>
          <w:p>
            <w:pPr>
              <w:pStyle w:val="5"/>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3、</w:t>
            </w:r>
            <w:r>
              <w:rPr>
                <w:rFonts w:hint="eastAsia" w:ascii="宋体" w:hAnsi="宋体" w:eastAsia="宋体" w:cs="宋体"/>
                <w:color w:val="000000"/>
                <w:spacing w:val="0"/>
                <w:w w:val="100"/>
                <w:position w:val="0"/>
                <w:sz w:val="18"/>
                <w:szCs w:val="18"/>
              </w:rPr>
              <w:t>项目支出按规定经过评估论证；</w:t>
            </w:r>
          </w:p>
          <w:p>
            <w:pPr>
              <w:pStyle w:val="5"/>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4、</w:t>
            </w:r>
            <w:r>
              <w:rPr>
                <w:rFonts w:hint="eastAsia" w:ascii="宋体" w:hAnsi="宋体" w:eastAsia="宋体" w:cs="宋体"/>
                <w:color w:val="000000"/>
                <w:spacing w:val="0"/>
                <w:w w:val="100"/>
                <w:position w:val="0"/>
                <w:sz w:val="18"/>
                <w:szCs w:val="18"/>
              </w:rPr>
              <w:t>支出符合部门预算批复的用途；</w:t>
            </w:r>
          </w:p>
          <w:p>
            <w:pPr>
              <w:pStyle w:val="5"/>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5、</w:t>
            </w:r>
            <w:r>
              <w:rPr>
                <w:rFonts w:hint="eastAsia" w:ascii="宋体" w:hAnsi="宋体" w:eastAsia="宋体" w:cs="宋体"/>
                <w:color w:val="000000"/>
                <w:spacing w:val="0"/>
                <w:w w:val="100"/>
                <w:position w:val="0"/>
                <w:sz w:val="18"/>
                <w:szCs w:val="18"/>
              </w:rPr>
              <w:t xml:space="preserve"> 资金使用无截留、挤占、挪 用、虚列支出等情况。</w:t>
            </w:r>
          </w:p>
          <w:p>
            <w:pPr>
              <w:pStyle w:val="5"/>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以上情况每出现一例不符合 要求的扣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587" w:hRule="exact"/>
          <w:jc w:val="center"/>
        </w:trPr>
        <w:tc>
          <w:tcPr>
            <w:tcW w:w="368"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72"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943" w:type="dxa"/>
            <w:tcBorders>
              <w:top w:val="single" w:color="auto" w:sz="4" w:space="0"/>
              <w:left w:val="single" w:color="auto" w:sz="4" w:space="0"/>
              <w:bottom w:val="single" w:color="auto" w:sz="4" w:space="0"/>
            </w:tcBorders>
            <w:shd w:val="clear" w:color="auto" w:fill="FFFFFF"/>
            <w:noWrap w:val="0"/>
            <w:vAlign w:val="top"/>
          </w:tcPr>
          <w:p>
            <w:pPr>
              <w:pStyle w:val="5"/>
              <w:keepNext w:val="0"/>
              <w:keepLines w:val="0"/>
              <w:widowControl w:val="0"/>
              <w:numPr>
                <w:ilvl w:val="0"/>
                <w:numId w:val="1"/>
              </w:numPr>
              <w:shd w:val="clear" w:color="auto" w:fill="auto"/>
              <w:bidi w:val="0"/>
              <w:spacing w:before="0" w:after="0" w:line="311"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按规定内容公开预决算信息，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5"/>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按规定时限公开预决算信息，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5"/>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基础数据信息和会计信息资料 真实，</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5"/>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 息和会计信息资料完整，</w:t>
            </w:r>
            <w:r>
              <w:rPr>
                <w:rFonts w:hint="eastAsia" w:ascii="宋体" w:hAnsi="宋体" w:eastAsia="宋体" w:cs="宋体"/>
                <w:b/>
                <w:bCs/>
                <w:color w:val="000000"/>
                <w:spacing w:val="0"/>
                <w:w w:val="100"/>
                <w:position w:val="0"/>
                <w:sz w:val="18"/>
                <w:szCs w:val="18"/>
              </w:rPr>
              <w:t xml:space="preserve">1 </w:t>
            </w:r>
            <w:r>
              <w:rPr>
                <w:rFonts w:hint="eastAsia" w:ascii="宋体" w:hAnsi="宋体" w:eastAsia="宋体" w:cs="宋体"/>
                <w:color w:val="000000"/>
                <w:spacing w:val="0"/>
                <w:w w:val="100"/>
                <w:position w:val="0"/>
                <w:sz w:val="18"/>
                <w:szCs w:val="18"/>
              </w:rPr>
              <w:t>分；</w:t>
            </w:r>
          </w:p>
          <w:p>
            <w:pPr>
              <w:pStyle w:val="5"/>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基础数据信息和汇集信息资料准确，</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tc>
        <w:tc>
          <w:tcPr>
            <w:tcW w:w="2811"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5"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预决算信息是指与部门预算、执行、决算、监督、绩效等管理相关的信息。</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2"/>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一</w:t>
            </w:r>
          </w:p>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4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634"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级 </w:t>
            </w:r>
          </w:p>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指 </w:t>
            </w:r>
          </w:p>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10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 指标</w:t>
            </w:r>
          </w:p>
        </w:tc>
        <w:tc>
          <w:tcPr>
            <w:tcW w:w="40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2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847"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产 出 及 效 率</w:t>
            </w:r>
          </w:p>
        </w:tc>
        <w:tc>
          <w:tcPr>
            <w:tcW w:w="4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26</w:t>
            </w:r>
          </w:p>
        </w:tc>
        <w:tc>
          <w:tcPr>
            <w:tcW w:w="63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 责 履 行</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10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重点工作实际完成率</w:t>
            </w:r>
          </w:p>
        </w:tc>
        <w:tc>
          <w:tcPr>
            <w:tcW w:w="40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2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根据绩效办对各部门为民办 实事和部门重点工程与重点工作考核分数折算。</w:t>
            </w:r>
          </w:p>
          <w:p>
            <w:pPr>
              <w:pStyle w:val="5"/>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该项得分=（绩效办对应部分考核得分</w:t>
            </w:r>
            <w:r>
              <w:rPr>
                <w:rFonts w:hint="eastAsia" w:ascii="宋体" w:hAnsi="宋体" w:eastAsia="宋体" w:cs="宋体"/>
                <w:b/>
                <w:bCs/>
                <w:color w:val="000000"/>
                <w:spacing w:val="0"/>
                <w:w w:val="100"/>
                <w:position w:val="0"/>
                <w:sz w:val="18"/>
                <w:szCs w:val="18"/>
              </w:rPr>
              <w:t xml:space="preserve">/350） </w:t>
            </w:r>
            <w:r>
              <w:rPr>
                <w:rFonts w:hint="eastAsia" w:ascii="宋体" w:hAnsi="宋体" w:eastAsia="宋体" w:cs="宋体"/>
                <w:b/>
                <w:bCs/>
                <w:color w:val="000000"/>
                <w:spacing w:val="0"/>
                <w:w w:val="100"/>
                <w:position w:val="0"/>
                <w:sz w:val="18"/>
                <w:szCs w:val="18"/>
                <w:lang w:val="en-US" w:eastAsia="en-US" w:bidi="en-US"/>
              </w:rPr>
              <w:t>*8</w:t>
            </w:r>
          </w:p>
        </w:tc>
        <w:tc>
          <w:tcPr>
            <w:tcW w:w="2784"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847"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547"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6"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履 职 效 益</w:t>
            </w:r>
          </w:p>
        </w:tc>
        <w:tc>
          <w:tcPr>
            <w:tcW w:w="398"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10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经济效益</w:t>
            </w:r>
          </w:p>
        </w:tc>
        <w:tc>
          <w:tcPr>
            <w:tcW w:w="408"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5508" w:type="dxa"/>
            <w:gridSpan w:val="2"/>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496"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9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社会效益</w:t>
            </w:r>
          </w:p>
        </w:tc>
        <w:tc>
          <w:tcPr>
            <w:tcW w:w="40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508" w:type="dxa"/>
            <w:gridSpan w:val="2"/>
            <w:vMerge w:val="continue"/>
            <w:tcBorders>
              <w:left w:val="single" w:color="auto" w:sz="4" w:space="0"/>
            </w:tcBorders>
            <w:shd w:val="clear" w:color="auto" w:fill="FFFFFF"/>
            <w:noWrap w:val="0"/>
            <w:vAlign w:val="center"/>
          </w:tcPr>
          <w:p>
            <w:pPr>
              <w:jc w:val="left"/>
              <w:rPr>
                <w:rFonts w:hint="eastAsia" w:ascii="宋体" w:hAnsi="宋体" w:eastAsia="宋体" w:cs="宋体"/>
                <w:sz w:val="18"/>
                <w:szCs w:val="18"/>
              </w:rPr>
            </w:pPr>
          </w:p>
        </w:tc>
        <w:tc>
          <w:tcPr>
            <w:tcW w:w="847" w:type="dxa"/>
            <w:vMerge w:val="continue"/>
            <w:tcBorders>
              <w:left w:val="single" w:color="auto" w:sz="4" w:space="0"/>
              <w:right w:val="single" w:color="auto" w:sz="4" w:space="0"/>
            </w:tcBorders>
            <w:shd w:val="clear" w:color="auto" w:fill="FFFFFF"/>
            <w:noWrap w:val="0"/>
            <w:vAlign w:val="top"/>
          </w:tcPr>
          <w:p>
            <w:pPr>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644"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12</w:t>
            </w:r>
          </w:p>
        </w:tc>
        <w:tc>
          <w:tcPr>
            <w:tcW w:w="10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行政效能</w:t>
            </w:r>
          </w:p>
        </w:tc>
        <w:tc>
          <w:tcPr>
            <w:tcW w:w="40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1"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促进部门改进文风会风，加强经费及资产管理，推动网上办事，提高行政效率，降 低行政成本效果较好的计</w:t>
            </w:r>
            <w:r>
              <w:rPr>
                <w:rFonts w:hint="eastAsia" w:ascii="宋体" w:hAnsi="宋体" w:eastAsia="宋体" w:cs="宋体"/>
                <w:b/>
                <w:bCs/>
                <w:color w:val="000000"/>
                <w:spacing w:val="0"/>
                <w:w w:val="100"/>
                <w:position w:val="0"/>
                <w:sz w:val="18"/>
                <w:szCs w:val="18"/>
              </w:rPr>
              <w:t xml:space="preserve">6 </w:t>
            </w:r>
            <w:r>
              <w:rPr>
                <w:rFonts w:hint="eastAsia" w:ascii="宋体" w:hAnsi="宋体" w:eastAsia="宋体" w:cs="宋体"/>
                <w:color w:val="000000"/>
                <w:spacing w:val="0"/>
                <w:w w:val="100"/>
                <w:position w:val="0"/>
                <w:sz w:val="18"/>
                <w:szCs w:val="18"/>
              </w:rPr>
              <w:t>分；一般</w:t>
            </w:r>
            <w:r>
              <w:rPr>
                <w:rFonts w:hint="eastAsia" w:ascii="宋体" w:hAnsi="宋体" w:eastAsia="宋体" w:cs="宋体"/>
                <w:b/>
                <w:bCs/>
                <w:color w:val="000000"/>
                <w:spacing w:val="0"/>
                <w:w w:val="100"/>
                <w:position w:val="0"/>
                <w:sz w:val="18"/>
                <w:szCs w:val="18"/>
              </w:rPr>
              <w:t>3</w:t>
            </w:r>
            <w:r>
              <w:rPr>
                <w:rFonts w:hint="eastAsia" w:ascii="宋体" w:hAnsi="宋体" w:eastAsia="宋体" w:cs="宋体"/>
                <w:color w:val="000000"/>
                <w:spacing w:val="0"/>
                <w:w w:val="100"/>
                <w:position w:val="0"/>
                <w:sz w:val="18"/>
                <w:szCs w:val="18"/>
              </w:rPr>
              <w:t>分；无效果或者 效果不明显</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639" w:hRule="exact"/>
          <w:jc w:val="center"/>
        </w:trPr>
        <w:tc>
          <w:tcPr>
            <w:tcW w:w="452"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社会公众或服务对象满意度</w:t>
            </w:r>
          </w:p>
        </w:tc>
        <w:tc>
          <w:tcPr>
            <w:tcW w:w="40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90% </w:t>
            </w:r>
            <w:r>
              <w:rPr>
                <w:rFonts w:hint="eastAsia" w:ascii="宋体" w:hAnsi="宋体" w:eastAsia="宋体" w:cs="宋体"/>
                <w:color w:val="000000"/>
                <w:spacing w:val="0"/>
                <w:w w:val="100"/>
                <w:position w:val="0"/>
                <w:sz w:val="18"/>
                <w:szCs w:val="18"/>
              </w:rPr>
              <w:t>（含）以上计</w:t>
            </w:r>
            <w:r>
              <w:rPr>
                <w:rFonts w:hint="eastAsia" w:ascii="宋体" w:hAnsi="宋体" w:eastAsia="宋体" w:cs="宋体"/>
                <w:b/>
                <w:bCs/>
                <w:color w:val="000000"/>
                <w:spacing w:val="0"/>
                <w:w w:val="100"/>
                <w:position w:val="0"/>
                <w:sz w:val="18"/>
                <w:szCs w:val="18"/>
              </w:rPr>
              <w:t>6</w:t>
            </w:r>
            <w:r>
              <w:rPr>
                <w:rFonts w:hint="eastAsia" w:ascii="宋体" w:hAnsi="宋体" w:eastAsia="宋体" w:cs="宋体"/>
                <w:color w:val="000000"/>
                <w:spacing w:val="0"/>
                <w:w w:val="100"/>
                <w:position w:val="0"/>
                <w:sz w:val="18"/>
                <w:szCs w:val="18"/>
              </w:rPr>
              <w:t>分；</w:t>
            </w:r>
          </w:p>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80%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-90%,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p>
          <w:p>
            <w:pPr>
              <w:pStyle w:val="5"/>
              <w:keepNext w:val="0"/>
              <w:keepLines w:val="0"/>
              <w:widowControl w:val="0"/>
              <w:shd w:val="clear" w:color="auto" w:fill="auto"/>
              <w:bidi w:val="0"/>
              <w:spacing w:before="0" w:after="0" w:line="317" w:lineRule="exact"/>
              <w:ind w:left="0" w:right="0" w:firstLine="0"/>
              <w:jc w:val="left"/>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70%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-80%,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2 </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低于</w:t>
            </w:r>
            <w:r>
              <w:rPr>
                <w:rFonts w:hint="eastAsia" w:ascii="宋体" w:hAnsi="宋体" w:eastAsia="宋体" w:cs="宋体"/>
                <w:b/>
                <w:bCs/>
                <w:color w:val="000000"/>
                <w:spacing w:val="0"/>
                <w:w w:val="100"/>
                <w:position w:val="0"/>
                <w:sz w:val="18"/>
                <w:szCs w:val="18"/>
              </w:rPr>
              <w:t>70%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社会公众或服务对象是指部门（单位）履行职责而影响到的部门、群体或个人，一般采取社会 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752" w:hRule="exact"/>
          <w:jc w:val="center"/>
        </w:trPr>
        <w:tc>
          <w:tcPr>
            <w:tcW w:w="452"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hint="eastAsia" w:ascii="宋体" w:hAnsi="宋体" w:eastAsia="宋体" w:cs="宋体"/>
                <w:sz w:val="18"/>
                <w:szCs w:val="18"/>
              </w:rPr>
            </w:pPr>
          </w:p>
        </w:tc>
        <w:tc>
          <w:tcPr>
            <w:tcW w:w="440" w:type="dxa"/>
            <w:tcBorders>
              <w:top w:val="single" w:color="auto" w:sz="4" w:space="0"/>
              <w:left w:val="nil"/>
              <w:bottom w:val="single" w:color="auto" w:sz="4" w:space="0"/>
              <w:right w:val="nil"/>
            </w:tcBorders>
            <w:shd w:val="clear" w:color="auto" w:fill="FFFFFF"/>
            <w:noWrap w:val="0"/>
            <w:vAlign w:val="center"/>
          </w:tcPr>
          <w:p>
            <w:pPr>
              <w:jc w:val="center"/>
              <w:rPr>
                <w:rFonts w:hint="eastAsia" w:ascii="宋体" w:hAnsi="宋体" w:eastAsia="宋体" w:cs="宋体"/>
                <w:sz w:val="18"/>
                <w:szCs w:val="18"/>
              </w:rPr>
            </w:pPr>
          </w:p>
        </w:tc>
        <w:tc>
          <w:tcPr>
            <w:tcW w:w="634" w:type="dxa"/>
            <w:tcBorders>
              <w:top w:val="single" w:color="auto" w:sz="4" w:space="0"/>
              <w:left w:val="nil"/>
              <w:bottom w:val="single" w:color="auto" w:sz="4" w:space="0"/>
              <w:right w:val="nil"/>
            </w:tcBorders>
            <w:shd w:val="clear" w:color="auto" w:fill="FFFFFF"/>
            <w:noWrap w:val="0"/>
            <w:vAlign w:val="center"/>
          </w:tcPr>
          <w:p>
            <w:pPr>
              <w:jc w:val="center"/>
              <w:rPr>
                <w:rFonts w:hint="eastAsia" w:ascii="宋体" w:hAnsi="宋体" w:eastAsia="宋体" w:cs="宋体"/>
                <w:sz w:val="18"/>
                <w:szCs w:val="18"/>
              </w:rPr>
            </w:pPr>
          </w:p>
        </w:tc>
        <w:tc>
          <w:tcPr>
            <w:tcW w:w="398" w:type="dxa"/>
            <w:tcBorders>
              <w:top w:val="single" w:color="auto" w:sz="4" w:space="0"/>
              <w:left w:val="nil"/>
              <w:bottom w:val="single" w:color="auto" w:sz="4" w:space="0"/>
              <w:right w:val="nil"/>
            </w:tcBorders>
            <w:shd w:val="clear" w:color="auto" w:fill="FFFFFF"/>
            <w:noWrap w:val="0"/>
            <w:vAlign w:val="center"/>
          </w:tcPr>
          <w:p>
            <w:pPr>
              <w:jc w:val="center"/>
              <w:rPr>
                <w:rFonts w:hint="eastAsia" w:ascii="宋体" w:hAnsi="宋体" w:eastAsia="宋体" w:cs="宋体"/>
                <w:sz w:val="18"/>
                <w:szCs w:val="18"/>
              </w:rPr>
            </w:pPr>
          </w:p>
        </w:tc>
        <w:tc>
          <w:tcPr>
            <w:tcW w:w="1084" w:type="dxa"/>
            <w:tcBorders>
              <w:top w:val="single" w:color="auto" w:sz="4" w:space="0"/>
              <w:left w:val="nil"/>
              <w:bottom w:val="single" w:color="auto" w:sz="4" w:space="0"/>
              <w:right w:val="nil"/>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p>
        </w:tc>
        <w:tc>
          <w:tcPr>
            <w:tcW w:w="408" w:type="dxa"/>
            <w:tcBorders>
              <w:top w:val="single" w:color="auto" w:sz="4" w:space="0"/>
              <w:left w:val="nil"/>
              <w:bottom w:val="single" w:color="auto" w:sz="4" w:space="0"/>
              <w:right w:val="nil"/>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18"/>
                <w:szCs w:val="18"/>
              </w:rPr>
            </w:pPr>
          </w:p>
        </w:tc>
        <w:tc>
          <w:tcPr>
            <w:tcW w:w="2724" w:type="dxa"/>
            <w:tcBorders>
              <w:top w:val="single" w:color="auto" w:sz="4" w:space="0"/>
              <w:left w:val="nil"/>
              <w:bottom w:val="single" w:color="auto" w:sz="4" w:space="0"/>
              <w:right w:val="nil"/>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color w:val="000000"/>
                <w:spacing w:val="0"/>
                <w:w w:val="100"/>
                <w:position w:val="0"/>
                <w:sz w:val="18"/>
                <w:szCs w:val="18"/>
                <w:lang w:eastAsia="zh-CN"/>
              </w:rPr>
            </w:pPr>
            <w:r>
              <w:rPr>
                <w:rFonts w:hint="eastAsia" w:cs="宋体"/>
                <w:color w:val="000000"/>
                <w:spacing w:val="0"/>
                <w:w w:val="100"/>
                <w:position w:val="0"/>
                <w:sz w:val="18"/>
                <w:szCs w:val="18"/>
                <w:lang w:eastAsia="zh-CN"/>
              </w:rPr>
              <w:t>得分</w:t>
            </w:r>
          </w:p>
        </w:tc>
        <w:tc>
          <w:tcPr>
            <w:tcW w:w="2784" w:type="dxa"/>
            <w:tcBorders>
              <w:top w:val="single" w:color="auto" w:sz="4" w:space="0"/>
              <w:left w:val="nil"/>
              <w:bottom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0" w:right="0" w:firstLine="0"/>
              <w:jc w:val="left"/>
              <w:rPr>
                <w:rFonts w:hint="eastAsia" w:ascii="宋体" w:hAnsi="宋体" w:eastAsia="宋体" w:cs="宋体"/>
                <w:color w:val="000000"/>
                <w:spacing w:val="0"/>
                <w:w w:val="100"/>
                <w:position w:val="0"/>
                <w:sz w:val="18"/>
                <w:szCs w:val="18"/>
              </w:rPr>
            </w:pPr>
          </w:p>
        </w:tc>
        <w:tc>
          <w:tcPr>
            <w:tcW w:w="84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default" w:ascii="宋体" w:hAnsi="宋体" w:cs="宋体"/>
                <w:sz w:val="18"/>
                <w:szCs w:val="18"/>
                <w:lang w:val="en-US" w:eastAsia="zh-CN"/>
              </w:rPr>
            </w:pPr>
            <w:r>
              <w:rPr>
                <w:rFonts w:hint="eastAsia" w:ascii="宋体" w:hAnsi="宋体" w:cs="宋体"/>
                <w:sz w:val="18"/>
                <w:szCs w:val="18"/>
                <w:lang w:val="en-US" w:eastAsia="zh-CN"/>
              </w:rPr>
              <w:t>95</w:t>
            </w:r>
          </w:p>
        </w:tc>
      </w:tr>
    </w:tbl>
    <w:p>
      <w:pPr>
        <w:pStyle w:val="4"/>
        <w:keepNext w:val="0"/>
        <w:keepLines w:val="0"/>
        <w:widowControl w:val="0"/>
        <w:shd w:val="clear" w:color="auto" w:fill="auto"/>
        <w:bidi w:val="0"/>
        <w:spacing w:after="420" w:line="240" w:lineRule="auto"/>
        <w:ind w:left="0" w:leftChars="0" w:right="0" w:firstLine="0" w:firstLineChars="0"/>
        <w:jc w:val="center"/>
        <w:rPr>
          <w:rFonts w:hint="eastAsia" w:ascii="宋体" w:hAnsi="宋体" w:eastAsia="宋体" w:cs="宋体"/>
          <w:sz w:val="18"/>
          <w:szCs w:val="18"/>
        </w:rPr>
      </w:pPr>
      <w:r>
        <w:rPr>
          <w:rFonts w:hint="eastAsia" w:ascii="宋体" w:hAnsi="宋体" w:eastAsia="宋体" w:cs="宋体"/>
          <w:sz w:val="18"/>
          <w:szCs w:val="18"/>
        </w:rPr>
        <w:br w:type="page"/>
      </w: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
      <w:pPr>
        <w:pStyle w:val="6"/>
        <w:keepNext/>
        <w:keepLines/>
        <w:pageBreakBefore w:val="0"/>
        <w:widowControl w:val="0"/>
        <w:shd w:val="clear" w:color="auto" w:fill="auto"/>
        <w:kinsoku/>
        <w:wordWrap/>
        <w:overflowPunct/>
        <w:topLinePunct w:val="0"/>
        <w:autoSpaceDE/>
        <w:autoSpaceDN/>
        <w:bidi w:val="0"/>
        <w:adjustRightInd/>
        <w:snapToGrid/>
        <w:spacing w:before="0" w:after="260" w:line="560" w:lineRule="exact"/>
        <w:ind w:left="0" w:right="0" w:firstLine="723" w:firstLineChars="200"/>
        <w:jc w:val="center"/>
        <w:textAlignment w:val="auto"/>
        <w:rPr>
          <w:rFonts w:hint="eastAsia" w:ascii="华文中宋" w:hAnsi="华文中宋" w:eastAsia="华文中宋" w:cs="华文中宋"/>
          <w:b/>
          <w:bCs/>
          <w:color w:val="000000"/>
          <w:spacing w:val="0"/>
          <w:w w:val="100"/>
          <w:position w:val="0"/>
          <w:sz w:val="36"/>
          <w:szCs w:val="36"/>
          <w:u w:val="none"/>
          <w:shd w:val="clear" w:color="auto" w:fill="auto"/>
          <w:lang w:val="en-US" w:eastAsia="zh-CN" w:bidi="zh-CN"/>
        </w:rPr>
      </w:pPr>
      <w:bookmarkStart w:id="0" w:name="bookmark90"/>
      <w:bookmarkStart w:id="1" w:name="bookmark88"/>
      <w:bookmarkStart w:id="2" w:name="bookmark89"/>
      <w:r>
        <w:rPr>
          <w:rFonts w:hint="eastAsia" w:ascii="华文中宋" w:hAnsi="华文中宋" w:eastAsia="华文中宋" w:cs="华文中宋"/>
          <w:b/>
          <w:bCs/>
          <w:color w:val="000000"/>
          <w:spacing w:val="0"/>
          <w:w w:val="100"/>
          <w:position w:val="0"/>
          <w:sz w:val="36"/>
          <w:szCs w:val="36"/>
          <w:u w:val="none"/>
          <w:shd w:val="clear" w:color="auto" w:fill="auto"/>
          <w:lang w:val="en-US" w:eastAsia="zh-CN" w:bidi="zh-CN"/>
        </w:rPr>
        <w:t>2021年部门整体支出绩效报告</w:t>
      </w:r>
      <w:bookmarkEnd w:id="0"/>
      <w:bookmarkEnd w:id="1"/>
      <w:bookmarkEnd w:id="2"/>
    </w:p>
    <w:p>
      <w:pPr>
        <w:pStyle w:val="7"/>
        <w:keepNext w:val="0"/>
        <w:keepLines w:val="0"/>
        <w:pageBreakBefore w:val="0"/>
        <w:widowControl w:val="0"/>
        <w:numPr>
          <w:ilvl w:val="0"/>
          <w:numId w:val="2"/>
        </w:numPr>
        <w:shd w:val="clear" w:color="auto" w:fill="auto"/>
        <w:tabs>
          <w:tab w:val="left" w:pos="867"/>
        </w:tabs>
        <w:kinsoku/>
        <w:wordWrap/>
        <w:overflowPunct/>
        <w:topLinePunct w:val="0"/>
        <w:autoSpaceDE/>
        <w:autoSpaceDN/>
        <w:bidi w:val="0"/>
        <w:adjustRightInd/>
        <w:snapToGrid/>
        <w:spacing w:before="0" w:after="0" w:line="560" w:lineRule="exact"/>
        <w:ind w:left="-13" w:leftChars="0" w:right="0" w:firstLine="643" w:firstLineChars="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部门概况</w:t>
      </w:r>
      <w:bookmarkStart w:id="3" w:name="bookmark92"/>
    </w:p>
    <w:p>
      <w:pPr>
        <w:spacing w:line="590" w:lineRule="exact"/>
        <w:ind w:firstLine="660"/>
        <w:rPr>
          <w:rFonts w:ascii="宋体" w:hAnsi="宋体" w:cs="宋体"/>
          <w:color w:val="000000"/>
          <w:sz w:val="28"/>
          <w:szCs w:val="28"/>
          <w:lang w:val="zh-CN" w:bidi="zh-CN"/>
        </w:rPr>
      </w:pPr>
      <w:r>
        <w:rPr>
          <w:rFonts w:hint="eastAsia" w:ascii="宋体" w:hAnsi="宋体" w:cs="宋体"/>
          <w:color w:val="000000"/>
          <w:sz w:val="28"/>
          <w:szCs w:val="28"/>
          <w:lang w:val="zh-CN" w:bidi="zh-CN"/>
        </w:rPr>
        <w:t>1.机构设置</w:t>
      </w:r>
    </w:p>
    <w:p>
      <w:pPr>
        <w:spacing w:line="590" w:lineRule="exact"/>
        <w:ind w:firstLine="660"/>
        <w:rPr>
          <w:rFonts w:ascii="仿宋" w:hAnsi="仿宋" w:eastAsia="仿宋"/>
          <w:sz w:val="32"/>
          <w:szCs w:val="32"/>
        </w:rPr>
      </w:pPr>
      <w:r>
        <w:rPr>
          <w:rFonts w:hint="eastAsia" w:ascii="仿宋" w:hAnsi="仿宋" w:eastAsia="仿宋"/>
          <w:sz w:val="32"/>
          <w:szCs w:val="32"/>
          <w:lang w:val="en-US" w:eastAsia="zh-CN"/>
        </w:rPr>
        <w:t>2021年</w:t>
      </w:r>
      <w:r>
        <w:rPr>
          <w:rFonts w:hint="eastAsia" w:ascii="仿宋" w:hAnsi="仿宋" w:eastAsia="仿宋"/>
          <w:sz w:val="32"/>
          <w:szCs w:val="32"/>
        </w:rPr>
        <w:t>珠晖区退役军人事务局</w:t>
      </w:r>
      <w:r>
        <w:rPr>
          <w:rFonts w:hint="eastAsia" w:ascii="仿宋" w:hAnsi="仿宋" w:eastAsia="仿宋"/>
          <w:sz w:val="32"/>
          <w:szCs w:val="32"/>
          <w:lang w:eastAsia="zh-CN"/>
        </w:rPr>
        <w:t>编制</w:t>
      </w:r>
      <w:r>
        <w:rPr>
          <w:rFonts w:hint="eastAsia" w:ascii="仿宋" w:hAnsi="仿宋" w:eastAsia="仿宋"/>
          <w:sz w:val="32"/>
          <w:szCs w:val="32"/>
          <w:lang w:val="en-US" w:eastAsia="zh-CN"/>
        </w:rPr>
        <w:t>10个。本部门共有编制人数9人，实有在职人数10人，（其中：行政在编人员3人，事业在编人员6人，退役士兵1人），珠晖区退役军人事务局</w:t>
      </w:r>
      <w:r>
        <w:rPr>
          <w:rFonts w:hint="eastAsia" w:ascii="仿宋" w:hAnsi="仿宋" w:eastAsia="仿宋"/>
          <w:sz w:val="32"/>
          <w:szCs w:val="32"/>
        </w:rPr>
        <w:t>内设机构包括：办公室、思想政治和权益维护股、规划财务股、移交安置</w:t>
      </w:r>
      <w:r>
        <w:rPr>
          <w:rFonts w:hint="eastAsia" w:ascii="仿宋" w:hAnsi="仿宋" w:eastAsia="仿宋"/>
          <w:sz w:val="32"/>
          <w:szCs w:val="32"/>
          <w:lang w:eastAsia="zh-CN"/>
        </w:rPr>
        <w:t>和</w:t>
      </w:r>
      <w:r>
        <w:rPr>
          <w:rFonts w:hint="eastAsia" w:ascii="仿宋" w:hAnsi="仿宋" w:eastAsia="仿宋"/>
          <w:sz w:val="32"/>
          <w:szCs w:val="32"/>
        </w:rPr>
        <w:t>就业创业股、</w:t>
      </w:r>
      <w:r>
        <w:rPr>
          <w:rFonts w:hint="eastAsia" w:ascii="仿宋" w:hAnsi="仿宋" w:eastAsia="仿宋"/>
          <w:sz w:val="32"/>
          <w:szCs w:val="32"/>
          <w:lang w:eastAsia="zh-CN"/>
        </w:rPr>
        <w:t>军休服务管理股、</w:t>
      </w:r>
      <w:r>
        <w:rPr>
          <w:rFonts w:hint="eastAsia" w:ascii="仿宋" w:hAnsi="仿宋" w:eastAsia="仿宋"/>
          <w:sz w:val="32"/>
          <w:szCs w:val="32"/>
        </w:rPr>
        <w:t>拥军优抚股。</w:t>
      </w:r>
    </w:p>
    <w:p>
      <w:pPr>
        <w:spacing w:line="590" w:lineRule="exact"/>
        <w:ind w:firstLine="660"/>
        <w:rPr>
          <w:rFonts w:ascii="宋体" w:hAnsi="宋体" w:cs="宋体"/>
          <w:color w:val="000000"/>
          <w:sz w:val="28"/>
          <w:szCs w:val="28"/>
          <w:lang w:val="zh-CN" w:bidi="zh-CN"/>
        </w:rPr>
      </w:pPr>
      <w:r>
        <w:rPr>
          <w:rFonts w:hint="eastAsia" w:ascii="宋体" w:hAnsi="宋体" w:cs="宋体"/>
          <w:color w:val="000000"/>
          <w:sz w:val="28"/>
          <w:szCs w:val="28"/>
          <w:lang w:val="zh-CN" w:bidi="zh-CN"/>
        </w:rPr>
        <w:t>2.职能职责</w:t>
      </w:r>
    </w:p>
    <w:p>
      <w:pPr>
        <w:pStyle w:val="7"/>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bidi="ar-SA"/>
        </w:rPr>
        <w:t>（一）承担全区军队转业干部、复员干部、离休退</w:t>
      </w:r>
    </w:p>
    <w:p>
      <w:pPr>
        <w:pStyle w:val="7"/>
        <w:spacing w:line="360" w:lineRule="auto"/>
        <w:ind w:firstLine="420"/>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bidi="ar-SA"/>
        </w:rPr>
        <w:t>休干部、退役士兵和无军籍退休退职职工的移交安置工作和自主择业、就业退役军人服务管理工作</w:t>
      </w:r>
      <w:r>
        <w:rPr>
          <w:rFonts w:hint="eastAsia" w:ascii="仿宋" w:hAnsi="仿宋" w:eastAsia="仿宋" w:cs="Times New Roman"/>
          <w:sz w:val="32"/>
          <w:szCs w:val="32"/>
          <w:lang w:val="en-US" w:eastAsia="zh-CN" w:bidi="ar-SA"/>
        </w:rPr>
        <w:t>。</w:t>
      </w:r>
    </w:p>
    <w:p>
      <w:pPr>
        <w:pStyle w:val="7"/>
        <w:spacing w:line="360" w:lineRule="auto"/>
        <w:ind w:firstLine="420"/>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bidi="ar-SA"/>
        </w:rPr>
        <w:t>（二）组织指导全区退役军人教育培训工作，协调扶持退役军人和随军随调家属就业创业；会同有关部门贯彻落实国家、省、市关于退役军人的相关保障政策</w:t>
      </w:r>
      <w:r>
        <w:rPr>
          <w:rFonts w:hint="eastAsia" w:ascii="仿宋" w:hAnsi="仿宋" w:eastAsia="仿宋" w:cs="Times New Roman"/>
          <w:sz w:val="32"/>
          <w:szCs w:val="32"/>
          <w:lang w:val="en-US" w:eastAsia="zh-CN" w:bidi="ar-SA"/>
        </w:rPr>
        <w:t>。</w:t>
      </w:r>
    </w:p>
    <w:p>
      <w:pPr>
        <w:pStyle w:val="7"/>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bidi="ar-SA"/>
        </w:rPr>
        <w:t>承担全区烈士及退役军人荣誉奖励、军人公墓</w:t>
      </w:r>
    </w:p>
    <w:p>
      <w:pPr>
        <w:pStyle w:val="7"/>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bidi="ar-SA"/>
        </w:rPr>
        <w:t>管理维护、纪念活动等工作，依法承担英雄烈士保护相关工作，总结表彰和宣扬退役军人、退役军人工作单位和个人先进典型事迹开展全区退役军人权益维护和有关人员的帮扶援助工作。</w:t>
      </w:r>
    </w:p>
    <w:p>
      <w:pPr>
        <w:spacing w:line="580" w:lineRule="exact"/>
        <w:ind w:firstLine="560" w:firstLineChars="200"/>
        <w:rPr>
          <w:rFonts w:ascii="宋体" w:hAnsi="宋体" w:cs="宋体"/>
          <w:color w:val="000000"/>
          <w:sz w:val="28"/>
          <w:szCs w:val="28"/>
          <w:lang w:val="zh-CN" w:bidi="zh-CN"/>
        </w:rPr>
      </w:pPr>
      <w:r>
        <w:rPr>
          <w:rFonts w:hint="eastAsia" w:ascii="宋体" w:hAnsi="宋体" w:cs="宋体"/>
          <w:color w:val="000000"/>
          <w:sz w:val="28"/>
          <w:szCs w:val="28"/>
          <w:lang w:val="zh-CN" w:bidi="zh-CN"/>
        </w:rPr>
        <w:t>3.重点工作计划</w:t>
      </w:r>
    </w:p>
    <w:p>
      <w:pPr>
        <w:pStyle w:val="7"/>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bidi="ar-SA"/>
        </w:rPr>
        <w:t>一是按政策规定做好军队转业干部、士官和离退休干部的接收安置工作，不断优化接收安置流程，确保军队转业干部、士官和离退干部工资待遇、组织关系、医疗保障与部队无缝对接，达到部队、退役干部、安置部门三满意。二是全面落实“两个待遇”，做好军休干部传阅文件、过党组织生活、参加政治活动、享受社会优待等政治待遇，在春节、八一等重点节日开展形式多样、内容务实的走访慰问活动；严格按照文件及时发放和调整补发军队离退休干部职工离退休费、津补贴和其他补助；按规定为军队离退休干部职工缴纳医疗保险，办理医保相关手续。三是做好拥军优属工作，八一建军节对驻珠晖区部队进行走访慰问，了解驻军实际困难，并协调区委、区政府进行解决。</w:t>
      </w:r>
    </w:p>
    <w:bookmarkEnd w:id="3"/>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bCs/>
          <w:sz w:val="32"/>
          <w:szCs w:val="32"/>
        </w:rPr>
      </w:pPr>
      <w:bookmarkStart w:id="4" w:name="bookmark94"/>
      <w:r>
        <w:rPr>
          <w:rFonts w:hint="eastAsia" w:ascii="仿宋_GB2312" w:hAnsi="仿宋_GB2312" w:eastAsia="仿宋_GB2312" w:cs="仿宋_GB2312"/>
          <w:b/>
          <w:bCs/>
          <w:color w:val="000000"/>
          <w:spacing w:val="0"/>
          <w:w w:val="100"/>
          <w:position w:val="0"/>
          <w:sz w:val="32"/>
          <w:szCs w:val="32"/>
        </w:rPr>
        <w:t>二</w:t>
      </w:r>
      <w:bookmarkEnd w:id="4"/>
      <w:r>
        <w:rPr>
          <w:rFonts w:hint="eastAsia" w:ascii="仿宋_GB2312" w:hAnsi="仿宋_GB2312" w:eastAsia="仿宋_GB2312" w:cs="仿宋_GB2312"/>
          <w:b/>
          <w:bCs/>
          <w:color w:val="000000"/>
          <w:spacing w:val="0"/>
          <w:w w:val="100"/>
          <w:position w:val="0"/>
          <w:sz w:val="32"/>
          <w:szCs w:val="32"/>
        </w:rPr>
        <w:t>、部门整体支出管理及使用情况</w:t>
      </w:r>
    </w:p>
    <w:p>
      <w:pPr>
        <w:pStyle w:val="7"/>
        <w:tabs>
          <w:tab w:val="left" w:pos="1111"/>
        </w:tabs>
        <w:spacing w:line="360" w:lineRule="auto"/>
        <w:ind w:firstLine="500"/>
        <w:jc w:val="left"/>
        <w:rPr>
          <w:sz w:val="28"/>
          <w:szCs w:val="28"/>
        </w:rPr>
      </w:pPr>
      <w:bookmarkStart w:id="5" w:name="bookmark95"/>
      <w:r>
        <w:rPr>
          <w:rFonts w:hint="eastAsia"/>
          <w:color w:val="000000"/>
          <w:sz w:val="28"/>
          <w:szCs w:val="28"/>
        </w:rPr>
        <w:t>（一）基本支出</w:t>
      </w:r>
    </w:p>
    <w:p>
      <w:pPr>
        <w:pStyle w:val="7"/>
        <w:spacing w:line="360" w:lineRule="auto"/>
        <w:ind w:firstLine="420"/>
        <w:rPr>
          <w:rFonts w:ascii="仿宋" w:hAnsi="仿宋" w:eastAsia="仿宋" w:cs="Times New Roman"/>
          <w:sz w:val="32"/>
          <w:szCs w:val="32"/>
          <w:lang w:val="en-US" w:bidi="ar-SA"/>
        </w:rPr>
      </w:pPr>
      <w:r>
        <w:rPr>
          <w:rFonts w:ascii="仿宋" w:hAnsi="仿宋" w:eastAsia="仿宋" w:cs="Times New Roman"/>
          <w:sz w:val="32"/>
          <w:szCs w:val="32"/>
          <w:lang w:val="en-US" w:bidi="ar-SA"/>
        </w:rPr>
        <w:t>202</w:t>
      </w:r>
      <w:r>
        <w:rPr>
          <w:rFonts w:hint="eastAsia" w:ascii="仿宋" w:hAnsi="仿宋" w:eastAsia="仿宋" w:cs="Times New Roman"/>
          <w:sz w:val="32"/>
          <w:szCs w:val="32"/>
          <w:lang w:val="en-US" w:eastAsia="zh-CN" w:bidi="ar-SA"/>
        </w:rPr>
        <w:t>1</w:t>
      </w:r>
      <w:r>
        <w:rPr>
          <w:rFonts w:ascii="仿宋" w:hAnsi="仿宋" w:eastAsia="仿宋" w:cs="Times New Roman"/>
          <w:sz w:val="32"/>
          <w:szCs w:val="32"/>
          <w:lang w:val="en-US" w:bidi="ar-SA"/>
        </w:rPr>
        <w:t>年度基本支出</w:t>
      </w:r>
      <w:r>
        <w:rPr>
          <w:rFonts w:hint="eastAsia" w:ascii="仿宋" w:hAnsi="仿宋" w:eastAsia="仿宋" w:cs="Times New Roman"/>
          <w:sz w:val="32"/>
          <w:szCs w:val="32"/>
          <w:highlight w:val="none"/>
          <w:lang w:val="en-US" w:eastAsia="zh-CN" w:bidi="ar-SA"/>
        </w:rPr>
        <w:t>124.12</w:t>
      </w:r>
      <w:r>
        <w:rPr>
          <w:rFonts w:ascii="仿宋" w:hAnsi="仿宋" w:eastAsia="仿宋" w:cs="Times New Roman"/>
          <w:sz w:val="32"/>
          <w:szCs w:val="32"/>
          <w:highlight w:val="none"/>
          <w:lang w:val="en-US" w:bidi="ar-SA"/>
        </w:rPr>
        <w:t>万元</w:t>
      </w:r>
      <w:r>
        <w:rPr>
          <w:rFonts w:ascii="仿宋" w:hAnsi="仿宋" w:eastAsia="仿宋" w:cs="Times New Roman"/>
          <w:sz w:val="32"/>
          <w:szCs w:val="32"/>
          <w:lang w:val="en-US" w:bidi="ar-SA"/>
        </w:rPr>
        <w:t>，</w:t>
      </w:r>
      <w:r>
        <w:rPr>
          <w:rFonts w:hint="eastAsia" w:ascii="仿宋" w:hAnsi="仿宋" w:eastAsia="仿宋" w:cs="Times New Roman"/>
          <w:sz w:val="32"/>
          <w:szCs w:val="32"/>
          <w:lang w:val="en-US" w:bidi="ar-SA"/>
        </w:rPr>
        <w:t>主要是工资福利支出、对个人家庭的补助、商品和服务支出中公用经费支出。</w:t>
      </w:r>
    </w:p>
    <w:p>
      <w:pPr>
        <w:pStyle w:val="7"/>
        <w:spacing w:line="360" w:lineRule="auto"/>
        <w:ind w:firstLine="420"/>
        <w:rPr>
          <w:rFonts w:ascii="仿宋" w:hAnsi="仿宋" w:eastAsia="仿宋" w:cs="Times New Roman"/>
          <w:sz w:val="32"/>
          <w:szCs w:val="32"/>
          <w:lang w:val="en-US" w:bidi="ar-SA"/>
        </w:rPr>
      </w:pPr>
      <w:r>
        <w:rPr>
          <w:rFonts w:ascii="仿宋" w:hAnsi="仿宋" w:eastAsia="仿宋" w:cs="Times New Roman"/>
          <w:sz w:val="32"/>
          <w:szCs w:val="32"/>
          <w:lang w:val="en-US" w:bidi="ar-SA"/>
        </w:rPr>
        <w:t>202</w:t>
      </w:r>
      <w:r>
        <w:rPr>
          <w:rFonts w:hint="eastAsia" w:ascii="仿宋" w:hAnsi="仿宋" w:eastAsia="仿宋" w:cs="Times New Roman"/>
          <w:sz w:val="32"/>
          <w:szCs w:val="32"/>
          <w:lang w:val="en-US" w:eastAsia="zh-CN" w:bidi="ar-SA"/>
        </w:rPr>
        <w:t>1</w:t>
      </w:r>
      <w:r>
        <w:rPr>
          <w:rFonts w:hint="eastAsia" w:ascii="仿宋" w:hAnsi="仿宋" w:eastAsia="仿宋" w:cs="Times New Roman"/>
          <w:sz w:val="32"/>
          <w:szCs w:val="32"/>
          <w:lang w:val="en-US" w:bidi="ar-SA"/>
        </w:rPr>
        <w:t>年无“三公”经费支出。</w:t>
      </w:r>
    </w:p>
    <w:p>
      <w:pPr>
        <w:pStyle w:val="7"/>
        <w:tabs>
          <w:tab w:val="left" w:pos="1111"/>
        </w:tabs>
        <w:spacing w:line="360" w:lineRule="auto"/>
        <w:ind w:firstLine="500"/>
        <w:jc w:val="left"/>
        <w:rPr>
          <w:color w:val="000000"/>
          <w:sz w:val="28"/>
          <w:szCs w:val="28"/>
        </w:rPr>
      </w:pPr>
      <w:r>
        <w:rPr>
          <w:rFonts w:hint="eastAsia"/>
          <w:color w:val="000000"/>
          <w:sz w:val="28"/>
          <w:szCs w:val="28"/>
        </w:rPr>
        <w:t>（二）项目支出</w:t>
      </w:r>
    </w:p>
    <w:p>
      <w:pPr>
        <w:pStyle w:val="7"/>
        <w:spacing w:line="360" w:lineRule="auto"/>
        <w:ind w:firstLine="420"/>
        <w:rPr>
          <w:rFonts w:ascii="仿宋" w:hAnsi="仿宋" w:eastAsia="仿宋" w:cs="Times New Roman"/>
          <w:sz w:val="32"/>
          <w:szCs w:val="32"/>
          <w:lang w:val="en-US" w:bidi="ar-SA"/>
        </w:rPr>
      </w:pPr>
      <w:r>
        <w:rPr>
          <w:rFonts w:ascii="仿宋" w:hAnsi="仿宋" w:eastAsia="仿宋" w:cs="Times New Roman"/>
          <w:sz w:val="32"/>
          <w:szCs w:val="32"/>
          <w:lang w:val="en-US" w:bidi="ar-SA"/>
        </w:rPr>
        <w:t>202</w:t>
      </w:r>
      <w:r>
        <w:rPr>
          <w:rFonts w:hint="eastAsia" w:ascii="仿宋" w:hAnsi="仿宋" w:eastAsia="仿宋" w:cs="Times New Roman"/>
          <w:sz w:val="32"/>
          <w:szCs w:val="32"/>
          <w:lang w:val="en-US" w:eastAsia="zh-CN" w:bidi="ar-SA"/>
        </w:rPr>
        <w:t>1</w:t>
      </w:r>
      <w:r>
        <w:rPr>
          <w:rFonts w:ascii="仿宋" w:hAnsi="仿宋" w:eastAsia="仿宋" w:cs="Times New Roman"/>
          <w:sz w:val="32"/>
          <w:szCs w:val="32"/>
          <w:lang w:val="en-US" w:bidi="ar-SA"/>
        </w:rPr>
        <w:t>年度</w:t>
      </w:r>
      <w:r>
        <w:rPr>
          <w:rFonts w:hint="eastAsia" w:ascii="仿宋" w:hAnsi="仿宋" w:eastAsia="仿宋" w:cs="Times New Roman"/>
          <w:sz w:val="32"/>
          <w:szCs w:val="32"/>
          <w:lang w:val="en-US" w:bidi="ar-SA"/>
        </w:rPr>
        <w:t>项目</w:t>
      </w:r>
      <w:r>
        <w:rPr>
          <w:rFonts w:ascii="仿宋" w:hAnsi="仿宋" w:eastAsia="仿宋" w:cs="Times New Roman"/>
          <w:sz w:val="32"/>
          <w:szCs w:val="32"/>
          <w:lang w:val="en-US" w:bidi="ar-SA"/>
        </w:rPr>
        <w:t>支出</w:t>
      </w:r>
      <w:r>
        <w:rPr>
          <w:rFonts w:hint="eastAsia" w:ascii="仿宋" w:hAnsi="仿宋" w:eastAsia="仿宋" w:cs="Times New Roman"/>
          <w:sz w:val="32"/>
          <w:szCs w:val="32"/>
          <w:highlight w:val="none"/>
          <w:lang w:val="en-US" w:eastAsia="zh-CN" w:bidi="ar-SA"/>
        </w:rPr>
        <w:t>1164.23</w:t>
      </w:r>
      <w:r>
        <w:rPr>
          <w:rFonts w:ascii="仿宋" w:hAnsi="仿宋" w:eastAsia="仿宋" w:cs="Times New Roman"/>
          <w:sz w:val="32"/>
          <w:szCs w:val="32"/>
          <w:highlight w:val="none"/>
          <w:lang w:val="en-US" w:bidi="ar-SA"/>
        </w:rPr>
        <w:t>万元</w:t>
      </w:r>
      <w:r>
        <w:rPr>
          <w:rFonts w:hint="eastAsia" w:ascii="仿宋" w:hAnsi="仿宋" w:eastAsia="仿宋" w:cs="Times New Roman"/>
          <w:sz w:val="32"/>
          <w:szCs w:val="32"/>
          <w:lang w:val="en-US" w:bidi="ar-SA"/>
        </w:rPr>
        <w:t>，主要是指单位为完成特定行政工作任务或事业发展目标而发生的支出，用于义务兵优待经费支出、其他优抚经费支出、退役士兵安置经费支出等支出。</w:t>
      </w:r>
    </w:p>
    <w:bookmarkEnd w:id="5"/>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bookmarkStart w:id="6" w:name="bookmark100"/>
      <w:r>
        <w:rPr>
          <w:rFonts w:hint="eastAsia" w:ascii="仿宋_GB2312" w:hAnsi="仿宋_GB2312" w:eastAsia="仿宋_GB2312" w:cs="仿宋_GB2312"/>
          <w:b/>
          <w:bCs/>
          <w:color w:val="000000"/>
          <w:spacing w:val="0"/>
          <w:w w:val="100"/>
          <w:position w:val="0"/>
          <w:sz w:val="32"/>
          <w:szCs w:val="32"/>
        </w:rPr>
        <w:t>三</w:t>
      </w:r>
      <w:bookmarkEnd w:id="6"/>
      <w:r>
        <w:rPr>
          <w:rFonts w:hint="eastAsia" w:ascii="仿宋_GB2312" w:hAnsi="仿宋_GB2312" w:eastAsia="仿宋_GB2312" w:cs="仿宋_GB2312"/>
          <w:b/>
          <w:bCs/>
          <w:color w:val="000000"/>
          <w:spacing w:val="0"/>
          <w:w w:val="100"/>
          <w:position w:val="0"/>
          <w:sz w:val="32"/>
          <w:szCs w:val="32"/>
        </w:rPr>
        <w:t>、部门项目组织实施情况</w:t>
      </w:r>
    </w:p>
    <w:p>
      <w:pPr>
        <w:widowControl/>
        <w:spacing w:line="560" w:lineRule="exact"/>
        <w:ind w:firstLine="627" w:firstLineChars="196"/>
        <w:jc w:val="left"/>
        <w:rPr>
          <w:rFonts w:hint="eastAsia" w:ascii="仿宋" w:hAnsi="仿宋" w:eastAsia="仿宋" w:cs="仿宋_GB2312"/>
          <w:kern w:val="0"/>
          <w:sz w:val="32"/>
          <w:szCs w:val="32"/>
          <w:lang w:eastAsia="zh-CN"/>
        </w:rPr>
      </w:pPr>
      <w:bookmarkStart w:id="7" w:name="bookmark101"/>
      <w:r>
        <w:rPr>
          <w:rFonts w:hint="eastAsia" w:ascii="仿宋" w:hAnsi="仿宋" w:eastAsia="仿宋" w:cs="仿宋_GB2312"/>
          <w:kern w:val="0"/>
          <w:sz w:val="32"/>
          <w:szCs w:val="32"/>
        </w:rPr>
        <w:t>无建设性项目支出</w:t>
      </w:r>
      <w:r>
        <w:rPr>
          <w:rFonts w:hint="eastAsia" w:ascii="仿宋" w:hAnsi="仿宋" w:eastAsia="仿宋" w:cs="仿宋_GB2312"/>
          <w:kern w:val="0"/>
          <w:sz w:val="32"/>
          <w:szCs w:val="32"/>
          <w:lang w:eastAsia="zh-CN"/>
        </w:rPr>
        <w:t>。</w:t>
      </w:r>
    </w:p>
    <w:p>
      <w:pPr>
        <w:widowControl/>
        <w:spacing w:line="560" w:lineRule="exact"/>
        <w:ind w:firstLine="627" w:firstLineChars="196"/>
        <w:jc w:val="left"/>
        <w:rPr>
          <w:rFonts w:hint="default" w:ascii="仿宋" w:hAnsi="仿宋" w:eastAsia="仿宋" w:cs="仿宋_GB2312"/>
          <w:kern w:val="0"/>
          <w:sz w:val="32"/>
          <w:szCs w:val="32"/>
          <w:lang w:val="en-US" w:eastAsia="zh-CN"/>
        </w:rPr>
      </w:pPr>
    </w:p>
    <w:p>
      <w:pPr>
        <w:pStyle w:val="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p>
    <w:p>
      <w:pPr>
        <w:pStyle w:val="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四</w:t>
      </w:r>
      <w:bookmarkEnd w:id="7"/>
      <w:r>
        <w:rPr>
          <w:rFonts w:hint="eastAsia" w:ascii="仿宋_GB2312" w:hAnsi="仿宋_GB2312" w:eastAsia="仿宋_GB2312" w:cs="仿宋_GB2312"/>
          <w:b/>
          <w:bCs/>
          <w:color w:val="000000"/>
          <w:spacing w:val="0"/>
          <w:w w:val="100"/>
          <w:position w:val="0"/>
          <w:sz w:val="32"/>
          <w:szCs w:val="32"/>
        </w:rPr>
        <w:t>、资产管理情况</w:t>
      </w:r>
    </w:p>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 w:hAnsi="仿宋" w:eastAsia="仿宋" w:cs="Times New Roman"/>
          <w:sz w:val="32"/>
          <w:szCs w:val="32"/>
          <w:lang w:val="en-US" w:bidi="ar-SA"/>
        </w:rPr>
      </w:pPr>
      <w:r>
        <w:rPr>
          <w:rFonts w:hint="eastAsia" w:ascii="仿宋" w:hAnsi="仿宋" w:eastAsia="仿宋" w:cs="Times New Roman"/>
          <w:sz w:val="32"/>
          <w:szCs w:val="32"/>
          <w:lang w:val="en-US" w:bidi="ar-SA"/>
        </w:rPr>
        <w:t>部门资产的配置、管理、处置等综合情况严格按照财务制度执行。制度建设、管理措施、配置处置的程序依据相关政策进行管理。</w:t>
      </w:r>
    </w:p>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五、</w:t>
      </w:r>
      <w:r>
        <w:rPr>
          <w:rFonts w:hint="eastAsia" w:ascii="仿宋_GB2312" w:hAnsi="仿宋_GB2312" w:eastAsia="仿宋_GB2312" w:cs="仿宋_GB2312"/>
          <w:b/>
          <w:bCs/>
          <w:color w:val="000000"/>
          <w:spacing w:val="0"/>
          <w:w w:val="100"/>
          <w:position w:val="0"/>
          <w:sz w:val="32"/>
          <w:szCs w:val="32"/>
        </w:rPr>
        <w:t>部门整体支出绩效情况</w:t>
      </w:r>
    </w:p>
    <w:p>
      <w:pPr>
        <w:spacing w:line="580" w:lineRule="exact"/>
        <w:ind w:firstLine="640" w:firstLineChars="200"/>
        <w:rPr>
          <w:rFonts w:ascii="仿宋" w:hAnsi="仿宋" w:eastAsia="仿宋"/>
          <w:sz w:val="32"/>
          <w:szCs w:val="32"/>
        </w:rPr>
      </w:pPr>
      <w:bookmarkStart w:id="8" w:name="bookmark103"/>
      <w:r>
        <w:rPr>
          <w:rFonts w:hint="eastAsia" w:ascii="仿宋" w:hAnsi="仿宋" w:eastAsia="仿宋"/>
          <w:sz w:val="32"/>
          <w:szCs w:val="32"/>
        </w:rPr>
        <w:t>一是严格落实了军队离退休人员和转业安置人员政治待遇和生活待遇；二是按时足额零差错发放无军籍职工退休退职费和津贴补贴；三是组织军休人员开展形式多样的文化生活，丰富了军休人员的晚年生活；四是按区委、区政府工作计划，八一建军节对驻珠晖区部队进行走访慰问，帮助解决实际困难，切实做好拥军拥属；五是做好了上访退役军人的接待和解释工作，确保退役军人安全稳定。</w:t>
      </w:r>
    </w:p>
    <w:bookmarkEnd w:id="8"/>
    <w:p>
      <w:pPr>
        <w:pStyle w:val="7"/>
        <w:keepNext w:val="0"/>
        <w:keepLines w:val="0"/>
        <w:pageBreakBefore w:val="0"/>
        <w:widowControl w:val="0"/>
        <w:numPr>
          <w:ilvl w:val="0"/>
          <w:numId w:val="3"/>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存在的主要问题</w:t>
      </w:r>
    </w:p>
    <w:p>
      <w:pPr>
        <w:pStyle w:val="7"/>
        <w:keepNext w:val="0"/>
        <w:keepLines w:val="0"/>
        <w:pageBreakBefore w:val="0"/>
        <w:widowControl w:val="0"/>
        <w:numPr>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jc w:val="both"/>
        <w:textAlignment w:val="auto"/>
        <w:rPr>
          <w:rFonts w:hint="eastAsia" w:ascii="仿宋" w:hAnsi="仿宋" w:eastAsia="仿宋" w:cs="Times New Roman"/>
          <w:kern w:val="2"/>
          <w:sz w:val="32"/>
          <w:szCs w:val="32"/>
          <w:u w:val="none"/>
          <w:shd w:val="clear"/>
          <w:lang w:val="en-US" w:eastAsia="zh-CN" w:bidi="ar-SA"/>
        </w:rPr>
      </w:pPr>
      <w:r>
        <w:rPr>
          <w:rFonts w:hint="eastAsia" w:ascii="仿宋" w:hAnsi="仿宋" w:eastAsia="仿宋" w:cs="Times New Roman"/>
          <w:kern w:val="2"/>
          <w:sz w:val="32"/>
          <w:szCs w:val="32"/>
          <w:u w:val="none"/>
          <w:shd w:val="clear"/>
          <w:lang w:val="en-US" w:eastAsia="zh-CN" w:bidi="ar-SA"/>
        </w:rPr>
        <w:t>财源基础薄弱，财源结构过于单一，可能财力不足。</w:t>
      </w:r>
    </w:p>
    <w:p>
      <w:pPr>
        <w:pStyle w:val="7"/>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七、</w:t>
      </w:r>
      <w:r>
        <w:rPr>
          <w:rFonts w:hint="eastAsia" w:ascii="仿宋_GB2312" w:hAnsi="仿宋_GB2312" w:eastAsia="仿宋_GB2312" w:cs="仿宋_GB2312"/>
          <w:b/>
          <w:bCs/>
          <w:color w:val="000000"/>
          <w:spacing w:val="0"/>
          <w:w w:val="100"/>
          <w:position w:val="0"/>
          <w:sz w:val="32"/>
          <w:szCs w:val="32"/>
        </w:rPr>
        <w:t>改进措施和有关建议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经过自查，我局领导积极负责，能认真组织实施专项资金规划设计编制工作，并用好管好专项资金。相关配套资金按时到位；财务制度健全、会计核算规范、资金管理严格，按计划使用资金，无资金缺口，还略有结余，无浪费行为，无挤占挪用或套取资金等现象，我局建立完善专项资金预算和使用考核机制；严格预算执行，强化预算监督管理。提高资金的使用效益。</w:t>
      </w:r>
    </w:p>
    <w:p/>
    <w:p/>
    <w:p/>
    <w:p/>
    <w:p/>
    <w:p/>
    <w:p/>
    <w:p/>
    <w:p/>
    <w:p>
      <w:pPr>
        <w:rPr>
          <w:rFonts w:hint="eastAsia" w:ascii="仿宋_GB2312" w:hAnsi="仿宋_GB2312" w:eastAsia="仿宋_GB2312" w:cs="仿宋_GB2312"/>
          <w:b/>
          <w:bCs/>
          <w:color w:val="000000"/>
          <w:spacing w:val="0"/>
          <w:w w:val="100"/>
          <w:kern w:val="2"/>
          <w:position w:val="0"/>
          <w:sz w:val="32"/>
          <w:szCs w:val="32"/>
          <w:u w:val="none"/>
          <w:shd w:val="clear" w:color="auto" w:fill="auto"/>
          <w:lang w:val="en-US" w:eastAsia="zh-CN" w:bidi="zh-CN"/>
        </w:rPr>
      </w:pPr>
      <w:r>
        <w:rPr>
          <w:rFonts w:hint="eastAsia"/>
          <w:lang w:val="en-US" w:eastAsia="zh-CN"/>
        </w:rPr>
        <w:t xml:space="preserve">                                            </w:t>
      </w:r>
      <w:r>
        <w:rPr>
          <w:rFonts w:hint="eastAsia" w:ascii="仿宋_GB2312" w:hAnsi="仿宋_GB2312" w:eastAsia="仿宋_GB2312" w:cs="仿宋_GB2312"/>
          <w:b/>
          <w:bCs/>
          <w:color w:val="000000"/>
          <w:spacing w:val="0"/>
          <w:w w:val="100"/>
          <w:kern w:val="2"/>
          <w:position w:val="0"/>
          <w:sz w:val="32"/>
          <w:szCs w:val="32"/>
          <w:u w:val="none"/>
          <w:shd w:val="clear" w:color="auto" w:fill="auto"/>
          <w:lang w:val="en-US" w:eastAsia="zh-CN" w:bidi="zh-CN"/>
        </w:rPr>
        <w:t xml:space="preserve"> 珠晖区退役军人事务局</w:t>
      </w:r>
    </w:p>
    <w:p>
      <w:pPr>
        <w:rPr>
          <w:rFonts w:hint="default" w:ascii="仿宋_GB2312" w:hAnsi="仿宋_GB2312" w:eastAsia="仿宋_GB2312" w:cs="仿宋_GB2312"/>
          <w:b/>
          <w:bCs/>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b/>
          <w:bCs/>
          <w:color w:val="000000"/>
          <w:spacing w:val="0"/>
          <w:w w:val="100"/>
          <w:kern w:val="2"/>
          <w:position w:val="0"/>
          <w:sz w:val="32"/>
          <w:szCs w:val="32"/>
          <w:u w:val="none"/>
          <w:shd w:val="clear" w:color="auto" w:fill="auto"/>
          <w:lang w:val="en-US" w:eastAsia="zh-CN" w:bidi="zh-CN"/>
        </w:rPr>
        <w:t xml:space="preserve">                                 </w:t>
      </w:r>
      <w:bookmarkStart w:id="9" w:name="_GoBack"/>
      <w:bookmarkEnd w:id="9"/>
      <w:r>
        <w:rPr>
          <w:rFonts w:hint="eastAsia" w:ascii="仿宋_GB2312" w:hAnsi="仿宋_GB2312" w:eastAsia="仿宋_GB2312" w:cs="仿宋_GB2312"/>
          <w:b/>
          <w:bCs/>
          <w:color w:val="000000"/>
          <w:spacing w:val="0"/>
          <w:w w:val="100"/>
          <w:kern w:val="2"/>
          <w:position w:val="0"/>
          <w:sz w:val="32"/>
          <w:szCs w:val="32"/>
          <w:u w:val="none"/>
          <w:shd w:val="clear" w:color="auto" w:fill="auto"/>
          <w:lang w:val="en-US" w:eastAsia="zh-CN" w:bidi="zh-CN"/>
        </w:rPr>
        <w:t>2021年10月27日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E7F6B"/>
    <w:multiLevelType w:val="singleLevel"/>
    <w:tmpl w:val="F51E7F6B"/>
    <w:lvl w:ilvl="0" w:tentative="0">
      <w:start w:val="1"/>
      <w:numFmt w:val="decimal"/>
      <w:suff w:val="nothing"/>
      <w:lvlText w:val="%1、"/>
      <w:lvlJc w:val="left"/>
    </w:lvl>
  </w:abstractNum>
  <w:abstractNum w:abstractNumId="1">
    <w:nsid w:val="0E813F1C"/>
    <w:multiLevelType w:val="singleLevel"/>
    <w:tmpl w:val="0E813F1C"/>
    <w:lvl w:ilvl="0" w:tentative="0">
      <w:start w:val="1"/>
      <w:numFmt w:val="chineseCounting"/>
      <w:suff w:val="nothing"/>
      <w:lvlText w:val="%1、"/>
      <w:lvlJc w:val="left"/>
      <w:pPr>
        <w:ind w:left="-13"/>
      </w:pPr>
      <w:rPr>
        <w:rFonts w:hint="eastAsia"/>
      </w:rPr>
    </w:lvl>
  </w:abstractNum>
  <w:abstractNum w:abstractNumId="2">
    <w:nsid w:val="6DF05476"/>
    <w:multiLevelType w:val="singleLevel"/>
    <w:tmpl w:val="6DF05476"/>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YjgzNWRhY2Y2NzVkNzRhMTdkYTM3ZTUxNzIxOTkifQ=="/>
  </w:docVars>
  <w:rsids>
    <w:rsidRoot w:val="00000000"/>
    <w:rsid w:val="08C43471"/>
    <w:rsid w:val="0915215B"/>
    <w:rsid w:val="2815563F"/>
    <w:rsid w:val="2F6649D2"/>
    <w:rsid w:val="3D1745D8"/>
    <w:rsid w:val="4B533C05"/>
    <w:rsid w:val="5638763E"/>
    <w:rsid w:val="58160FDC"/>
    <w:rsid w:val="5F185DFC"/>
    <w:rsid w:val="6F7E4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5">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6">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7">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2847</Words>
  <Characters>2987</Characters>
  <Lines>0</Lines>
  <Paragraphs>0</Paragraphs>
  <TotalTime>5</TotalTime>
  <ScaleCrop>false</ScaleCrop>
  <LinksUpToDate>false</LinksUpToDate>
  <CharactersWithSpaces>3094</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2022-10-25T09:19:00Z</dcterms:created>
  <dc:creator>Administrator</dc:creator>
  <cp:lastModifiedBy>sunny.</cp:lastModifiedBy>
  <dcterms:modified xsi:type="dcterms:W3CDTF">2022-10-28T07:00:01Z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D0AACCB72E164CC599A7BDAF9AE8E8A7</vt:lpwstr>
  </property>
</Properties>
</file>