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楷体_GB2312"/>
          <w:sz w:val="32"/>
          <w:szCs w:val="32"/>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pPr>
        <w:pStyle w:val="19"/>
        <w:keepNext w:val="0"/>
        <w:keepLines w:val="0"/>
        <w:pageBreakBefore w:val="0"/>
        <w:widowControl/>
        <w:kinsoku/>
        <w:overflowPunct/>
        <w:topLinePunct w:val="0"/>
        <w:autoSpaceDE/>
        <w:autoSpaceDN/>
        <w:bidi w:val="0"/>
        <w:adjustRightInd/>
        <w:snapToGrid/>
        <w:spacing w:beforeAutospacing="0" w:afterAutospacing="0" w:line="240" w:lineRule="auto"/>
        <w:ind w:left="0" w:leftChars="0" w:firstLine="640" w:firstLineChars="200"/>
        <w:textAlignment w:val="auto"/>
        <w:rPr>
          <w:rFonts w:eastAsia="黑体"/>
          <w:sz w:val="32"/>
          <w:szCs w:val="32"/>
        </w:rPr>
      </w:pPr>
      <w:r>
        <w:rPr>
          <w:rFonts w:eastAsia="黑体"/>
          <w:sz w:val="32"/>
          <w:szCs w:val="32"/>
        </w:rPr>
        <w:t>一、部门、单位基本情况</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（一）单位主要职责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(一)统筹研究和组织实施“三农”工作的发展中长期规划、重 大政策。指导农业综合执法。参与涉农的价格、收储、金融保险、进 出口等政策制定。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(二)统筹推动发展农村社会事业、农村公共服务、农村文化、 农村基础设施和乡村治理。配合有关部门指导农业劳动模范管理工作 ，牵头组织改善农村人居环境，指导农村精神文明和优秀农耕文化建 设。指导农业行业安全生产工作。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(三)研究提出深化农村经济体制改革和巩固完善农村基本经营 制度的政策建议。负责农民承包地、农村宅基地改革和管理有关工作 。负责农村集体产权制度改革，指导农村集体经济组织发展和集体资 产管理工作。指导农民合作经济组织、农业社会化服务体系、新型农 业经营主体建设与发展。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(四)指导乡村特色产业、农产品加工业、休闲农业和乡镇企业 发展工作。提出促进大宗农产品流通的建议，培育、保护农业品牌。 发布农业农村经济信息，监测分析农业农村经济运行。承担农业统计 和农业农村信息化有关工作。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(五)负责种植业、畜牧业、渔业、农垦、农业机械化等农业各 产业的监督管理。指导粮食、蔬菜等农作物生产。组织构建现代农业 产业体系、生产体系、经营体系，指导农业标准化生产。负责渔政渔 港监督管理。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(六)负责农产品质量安全监督管理。组织开展农产品质量安全 监测、追溯、风险评估，发布农产品质量安全信息。贯彻执行农产品 质量安全国家标准，参与制定农产品质量安全地方标准并会同有关部 门组织实施。指导农业检验检测体系建设。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(七)组织农业资源区划工作。指导农用地、渔业水域以及农业 生物物种资源的保护与管理，负责水生野生动植物保护、耕地及永久 基本农田质量保护工作。指导农产品产地环境管理和农业清洁生产。 指导设施农业、生态循环农业、节水农业发展以及农村可再生能源</w:t>
      </w:r>
      <w:r>
        <w:rPr>
          <w:rFonts w:hint="eastAsia" w:ascii="仿宋" w:hAnsi="仿宋" w:eastAsia="仿宋" w:cs="仿宋"/>
          <w:sz w:val="32"/>
          <w:szCs w:val="32"/>
          <w:lang w:val="en-US" w:eastAsia="zh-CN"/>
        </w:rPr>
        <w:t>开</w:t>
      </w:r>
      <w:r>
        <w:rPr>
          <w:rFonts w:hint="eastAsia" w:ascii="仿宋" w:hAnsi="仿宋" w:eastAsia="仿宋" w:cs="仿宋"/>
          <w:sz w:val="32"/>
          <w:szCs w:val="32"/>
        </w:rPr>
        <w:t>综合开发利用、农业综合开发、农业生物质产业发展。牵头管理外 来物种。负责农田建设、农田整治项目的申报、管理、实施和运行工 作，承担农田水利建设项目管理责任</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(八)负责有关农业生产资料和农业投入品的监督管理。组织农业生产资料市场体系建设，贯彻执行农业生产资料、农药残留、兽药残留限量和残留检测方法国家标准并监督实施。组织兽医医政</w:t>
      </w:r>
      <w:r>
        <w:rPr>
          <w:rFonts w:hint="eastAsia" w:ascii="仿宋" w:hAnsi="仿宋" w:eastAsia="仿宋" w:cs="仿宋"/>
          <w:sz w:val="32"/>
          <w:szCs w:val="32"/>
          <w:lang w:eastAsia="zh-CN"/>
        </w:rPr>
        <w:t>、</w:t>
      </w:r>
      <w:r>
        <w:rPr>
          <w:rFonts w:hint="eastAsia" w:ascii="仿宋" w:hAnsi="仿宋" w:eastAsia="仿宋" w:cs="仿宋"/>
          <w:sz w:val="32"/>
          <w:szCs w:val="32"/>
        </w:rPr>
        <w:t>兽药药政药检工作，负责执业兽医和畜禽防疫检疫监督管理。</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(九)负责农业防灾减灾、农作物重大病虫害防治工作。指导动 植物防疫检疫体系建设，组织、监督区内动植物防疫检疫工作，发布 疫情并组织扑灭。</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(十)负责农业投资管理。编制农业投资项目建设规划，提出农业投资规模和方向、扶持农业农村发展财政项目的建议，按规定权限审批农业投资项目，负责农业投资项目资金安排和监督管理。</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一)推动农业科技体制改革和农业科技创新体系建设。指导农业产业技术体系和农技推广体系建设，组织开展农业领域的高新技术和应用技术研究，指导科技成果转化和技术推广。负责农业转基因生物安全监督管理和农业植物新品种保护。</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(十二)指导农业农村人才工作。拟订农业农村人才队伍建设规划并组织实施，指导农业教育和农业职业技能开发，指导新型职业农民培育、农业科技人才培养和农村实用人才培训工作。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(十三)组织参与农业对外合作工作。承办有关农业涉外事务，组织开展农业贸易促进和有关对外交流合作，具体执行有关农业援外项目。</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(十四)承办区委、区人民政府交办的其他事项。</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(十五)职能转变。</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1.统筹实施乡村振兴战略，深化农业供给侧结构性改革，提升农业发展质量，扎实推进美丽乡村建设，加快实现农业农村现代化。</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2.加强农产品质量安全和相关农业生产资料、农业投入品的监督。</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3.深入推进简政放权，加强对行业内交叉重复以及性质相同、用途相近的农业投资项目的统筹整合，加强事中事后监管，切实提升支农政策效果和资金使用效益。</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（二）部门组织机构及人员情况</w:t>
      </w:r>
    </w:p>
    <w:p>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lang w:eastAsia="zh-CN"/>
        </w:rPr>
      </w:pPr>
      <w:r>
        <w:rPr>
          <w:rFonts w:hint="default" w:ascii="仿宋" w:hAnsi="仿宋" w:eastAsia="仿宋" w:cs="仿宋"/>
          <w:sz w:val="32"/>
          <w:szCs w:val="32"/>
        </w:rPr>
        <w:t>根据职责，</w:t>
      </w:r>
      <w:r>
        <w:rPr>
          <w:rFonts w:hint="eastAsia" w:ascii="仿宋" w:hAnsi="仿宋" w:eastAsia="仿宋" w:cs="仿宋"/>
          <w:sz w:val="32"/>
          <w:szCs w:val="32"/>
        </w:rPr>
        <w:t>珠晖区农业农村局内设机构包括：农业农村局内设机构：办公室、农村社会事业促进股、农村经营管理股、政策法规股、农田建设和农垦农机股、乡村产业和发展规则股、农业生产股、畜牧水产股</w:t>
      </w:r>
      <w:r>
        <w:rPr>
          <w:rFonts w:hint="eastAsia" w:ascii="仿宋" w:hAnsi="仿宋" w:eastAsia="仿宋" w:cs="仿宋"/>
          <w:sz w:val="32"/>
          <w:szCs w:val="32"/>
          <w:lang w:eastAsia="zh-CN"/>
        </w:rPr>
        <w:t>。</w:t>
      </w:r>
    </w:p>
    <w:p>
      <w:pPr>
        <w:pStyle w:val="21"/>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农业农村</w:t>
      </w:r>
      <w:r>
        <w:rPr>
          <w:rFonts w:hint="default" w:ascii="仿宋" w:hAnsi="仿宋" w:eastAsia="仿宋" w:cs="仿宋"/>
          <w:kern w:val="2"/>
          <w:sz w:val="32"/>
          <w:szCs w:val="32"/>
          <w:lang w:val="en-US" w:eastAsia="zh-CN" w:bidi="ar-SA"/>
        </w:rPr>
        <w:t>局编制</w:t>
      </w:r>
      <w:r>
        <w:rPr>
          <w:rFonts w:hint="eastAsia" w:ascii="仿宋" w:hAnsi="仿宋" w:eastAsia="仿宋" w:cs="仿宋"/>
          <w:kern w:val="2"/>
          <w:sz w:val="32"/>
          <w:szCs w:val="32"/>
          <w:lang w:val="en-US" w:eastAsia="zh-CN" w:bidi="ar-SA"/>
        </w:rPr>
        <w:t>数27个</w:t>
      </w:r>
      <w:r>
        <w:rPr>
          <w:rFonts w:hint="default" w:ascii="仿宋" w:hAnsi="仿宋" w:eastAsia="仿宋" w:cs="仿宋"/>
          <w:kern w:val="2"/>
          <w:sz w:val="32"/>
          <w:szCs w:val="32"/>
          <w:lang w:val="en-US" w:eastAsia="zh-CN" w:bidi="ar-SA"/>
        </w:rPr>
        <w:t>，202</w:t>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年末实有在职</w:t>
      </w:r>
      <w:r>
        <w:rPr>
          <w:rFonts w:hint="eastAsia" w:ascii="仿宋" w:hAnsi="仿宋" w:eastAsia="仿宋" w:cs="仿宋"/>
          <w:kern w:val="2"/>
          <w:sz w:val="32"/>
          <w:szCs w:val="32"/>
          <w:lang w:val="en-US" w:eastAsia="zh-CN" w:bidi="ar-SA"/>
        </w:rPr>
        <w:t>36</w:t>
      </w:r>
      <w:r>
        <w:rPr>
          <w:rFonts w:hint="default" w:ascii="仿宋" w:hAnsi="仿宋" w:eastAsia="仿宋" w:cs="仿宋"/>
          <w:kern w:val="2"/>
          <w:sz w:val="32"/>
          <w:szCs w:val="32"/>
          <w:lang w:val="en-US" w:eastAsia="zh-CN" w:bidi="ar-SA"/>
        </w:rPr>
        <w:t>人。</w:t>
      </w:r>
    </w:p>
    <w:p>
      <w:pPr>
        <w:pStyle w:val="19"/>
        <w:keepNext w:val="0"/>
        <w:keepLines w:val="0"/>
        <w:pageBreakBefore w:val="0"/>
        <w:widowControl/>
        <w:kinsoku/>
        <w:overflowPunct/>
        <w:topLinePunct w:val="0"/>
        <w:autoSpaceDE/>
        <w:autoSpaceDN/>
        <w:bidi w:val="0"/>
        <w:adjustRightInd/>
        <w:snapToGrid/>
        <w:spacing w:beforeAutospacing="0" w:afterAutospacing="0" w:line="240" w:lineRule="auto"/>
        <w:ind w:left="0" w:leftChars="0" w:firstLine="640" w:firstLineChars="200"/>
        <w:textAlignment w:val="auto"/>
        <w:rPr>
          <w:rFonts w:eastAsia="黑体"/>
          <w:sz w:val="32"/>
          <w:szCs w:val="32"/>
        </w:rPr>
      </w:pPr>
      <w:r>
        <w:rPr>
          <w:rFonts w:eastAsia="黑体"/>
          <w:sz w:val="32"/>
          <w:szCs w:val="32"/>
        </w:rPr>
        <w:t>二、一般公共预算支出情况</w:t>
      </w:r>
    </w:p>
    <w:p>
      <w:pPr>
        <w:pStyle w:val="19"/>
        <w:keepNext w:val="0"/>
        <w:keepLines w:val="0"/>
        <w:pageBreakBefore w:val="0"/>
        <w:widowControl/>
        <w:kinsoku/>
        <w:overflowPunct/>
        <w:topLinePunct w:val="0"/>
        <w:autoSpaceDE/>
        <w:autoSpaceDN/>
        <w:bidi w:val="0"/>
        <w:adjustRightInd/>
        <w:snapToGrid/>
        <w:spacing w:beforeAutospacing="0" w:afterAutospacing="0" w:line="240" w:lineRule="auto"/>
        <w:ind w:firstLine="643"/>
        <w:textAlignment w:val="auto"/>
        <w:rPr>
          <w:rFonts w:eastAsia="楷体"/>
          <w:b/>
          <w:sz w:val="32"/>
          <w:szCs w:val="32"/>
        </w:rPr>
      </w:pPr>
      <w:r>
        <w:rPr>
          <w:rFonts w:eastAsia="楷体"/>
          <w:b/>
          <w:sz w:val="32"/>
          <w:szCs w:val="32"/>
        </w:rPr>
        <w:t>（一）基本支出情况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基本支出用于为保障机构正常运转、完成日常工作任务而发生的支出，包括人员经费和公用经费。2021年度本单位人员经费526.76万元占基本支出比例96%；公用经费支出21.25万元，占基本支出比例4%，本年度基本支出与调整后的预算基本一致。</w:t>
      </w:r>
    </w:p>
    <w:p>
      <w:pPr>
        <w:spacing w:line="560" w:lineRule="exact"/>
        <w:ind w:firstLine="640" w:firstLineChars="200"/>
        <w:rPr>
          <w:rFonts w:ascii="宋体" w:hAnsi="宋体" w:eastAsia="宋体" w:cs="宋体"/>
          <w:sz w:val="30"/>
          <w:szCs w:val="30"/>
        </w:rPr>
      </w:pPr>
      <w:r>
        <w:rPr>
          <w:rFonts w:hint="eastAsia" w:ascii="仿宋_GB2312" w:eastAsia="仿宋_GB2312"/>
          <w:sz w:val="32"/>
          <w:szCs w:val="32"/>
          <w:lang w:val="en-US" w:eastAsia="zh-CN"/>
        </w:rPr>
        <w:t>本单位2021年“三公”经费预算（控制数）金额为25.5万元，其中公务接待费13万元，公车运行维护费12.5万元，因公出国（境）费支出预算为0万元。2021年度“三公”经费支出决算为5.69万元。</w:t>
      </w:r>
      <w:r>
        <w:rPr>
          <w:rFonts w:hint="eastAsia" w:eastAsia="仿宋"/>
          <w:sz w:val="32"/>
          <w:szCs w:val="32"/>
        </w:rPr>
        <w:t xml:space="preserve"> </w:t>
      </w:r>
    </w:p>
    <w:p>
      <w:pPr>
        <w:pStyle w:val="19"/>
        <w:keepNext w:val="0"/>
        <w:keepLines w:val="0"/>
        <w:pageBreakBefore w:val="0"/>
        <w:widowControl/>
        <w:kinsoku/>
        <w:overflowPunct/>
        <w:topLinePunct w:val="0"/>
        <w:autoSpaceDE/>
        <w:autoSpaceDN/>
        <w:bidi w:val="0"/>
        <w:adjustRightInd/>
        <w:snapToGrid/>
        <w:spacing w:beforeAutospacing="0" w:afterAutospacing="0" w:line="240" w:lineRule="auto"/>
        <w:ind w:firstLine="643"/>
        <w:textAlignment w:val="auto"/>
        <w:rPr>
          <w:rFonts w:eastAsia="楷体"/>
          <w:b/>
          <w:sz w:val="32"/>
          <w:szCs w:val="32"/>
        </w:rPr>
      </w:pPr>
      <w:r>
        <w:rPr>
          <w:rFonts w:eastAsia="楷体"/>
          <w:b/>
          <w:sz w:val="32"/>
          <w:szCs w:val="32"/>
        </w:rPr>
        <w:t>（二）项目支出情况</w:t>
      </w:r>
    </w:p>
    <w:p>
      <w:pPr>
        <w:pStyle w:val="24"/>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b/>
          <w:bCs/>
          <w:color w:val="000000"/>
          <w:spacing w:val="0"/>
          <w:w w:val="100"/>
          <w:position w:val="0"/>
          <w:sz w:val="28"/>
          <w:szCs w:val="28"/>
        </w:rPr>
      </w:pPr>
      <w:bookmarkStart w:id="0" w:name="bookmark97"/>
      <w:r>
        <w:rPr>
          <w:rFonts w:hint="eastAsia" w:ascii="宋体" w:hAnsi="宋体" w:eastAsia="宋体" w:cs="宋体"/>
          <w:b/>
          <w:bCs/>
          <w:color w:val="000000"/>
          <w:spacing w:val="0"/>
          <w:w w:val="100"/>
          <w:position w:val="0"/>
          <w:sz w:val="28"/>
          <w:szCs w:val="28"/>
        </w:rPr>
        <w:t>1</w:t>
      </w:r>
      <w:bookmarkEnd w:id="0"/>
      <w:r>
        <w:rPr>
          <w:rFonts w:hint="eastAsia" w:ascii="宋体" w:hAnsi="宋体" w:eastAsia="宋体" w:cs="宋体"/>
          <w:b/>
          <w:bCs/>
          <w:color w:val="000000"/>
          <w:spacing w:val="0"/>
          <w:w w:val="100"/>
          <w:position w:val="0"/>
          <w:sz w:val="28"/>
          <w:szCs w:val="28"/>
        </w:rPr>
        <w:t>、项目资金情况分析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本年度财政共安排项目资金4810.36万元，其中：社会保障和就业支出464.1万元，节能环保支出130.49万元，城乡社区支出41.41万元，农林水支出4174.36万元。</w:t>
      </w:r>
    </w:p>
    <w:p>
      <w:pPr>
        <w:pStyle w:val="24"/>
        <w:keepNext w:val="0"/>
        <w:keepLines w:val="0"/>
        <w:pageBreakBefore w:val="0"/>
        <w:widowControl w:val="0"/>
        <w:numPr>
          <w:ilvl w:val="0"/>
          <w:numId w:val="0"/>
        </w:numPr>
        <w:shd w:val="clear" w:color="auto" w:fill="auto"/>
        <w:tabs>
          <w:tab w:val="left" w:pos="765"/>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eastAsia="宋体" w:cs="宋体"/>
          <w:b/>
          <w:bCs/>
          <w:color w:val="000000"/>
          <w:spacing w:val="0"/>
          <w:w w:val="100"/>
          <w:position w:val="0"/>
          <w:sz w:val="28"/>
          <w:szCs w:val="28"/>
        </w:rPr>
      </w:pPr>
      <w:r>
        <w:rPr>
          <w:rFonts w:hint="eastAsia" w:cs="宋体"/>
          <w:b/>
          <w:bCs/>
          <w:color w:val="000000"/>
          <w:spacing w:val="0"/>
          <w:w w:val="100"/>
          <w:position w:val="0"/>
          <w:sz w:val="28"/>
          <w:szCs w:val="28"/>
          <w:lang w:val="en-US" w:eastAsia="zh-CN"/>
        </w:rPr>
        <w:t>2、</w:t>
      </w:r>
      <w:r>
        <w:rPr>
          <w:rFonts w:hint="eastAsia" w:ascii="宋体" w:hAnsi="宋体" w:eastAsia="宋体" w:cs="宋体"/>
          <w:b/>
          <w:bCs/>
          <w:color w:val="000000"/>
          <w:spacing w:val="0"/>
          <w:w w:val="100"/>
          <w:position w:val="0"/>
          <w:sz w:val="28"/>
          <w:szCs w:val="28"/>
        </w:rPr>
        <w:t>项目资金实际使用情况分析</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本年度共支出项目资金3368.71万元。其中，乡村振兴发展奖金31.18万元，人居环境20.3万元，农村生活污水治理50万元，畜禽养殖禁养区划定3.2万元，商品粮大省奖励资金5.39万元，高素质农民培训30万元，畜牧防疫、禽流感、松材线虫病经费140.5万元，2020年受污染耕地安全利用2.56万元，打击“瘦肉精”专项经费4.29万元，农业生产救灾5.51万元，各乡镇受污染耕地安全利用51.75万元，农机购置、耕地地力保护、示范家庭农场资金119.22万元，农业产业化、示范合作社资金74.26万元，农产品仓储保险冷链设施建设176万元，各乡镇改厕资金154.01万元，各乡镇街道沿河水域巡查监管禁捕工作经费131.64万元，高标准农田建设资金791.17万元，乡村振兴扶持引导、新型农业经营主体贷款贴息、耕地安全利用、土地确权资金1316.53万元，退耕还生态抚育管护费3.22万元，森林禁伐省级补助资金3.2万元，森林生态效益补偿资金161.47万元，野生动物禁食退养奖励资金4.98万元，古树名木及林业有害生物防治检疫经费10.23万元，粮食适度规模经营补贴13.93万元，小型水利、农田设施建设50.8万元，产权制度改革2.1万元，星级农庄及其他商品服务支出11.72万元。</w:t>
      </w:r>
    </w:p>
    <w:p>
      <w:pPr>
        <w:pStyle w:val="24"/>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eastAsia="宋体" w:cs="宋体"/>
          <w:color w:val="000000"/>
          <w:spacing w:val="0"/>
          <w:w w:val="100"/>
          <w:position w:val="0"/>
          <w:sz w:val="28"/>
          <w:szCs w:val="28"/>
        </w:rPr>
      </w:pPr>
      <w:r>
        <w:rPr>
          <w:rFonts w:hint="eastAsia" w:cs="宋体"/>
          <w:b/>
          <w:bCs/>
          <w:color w:val="000000"/>
          <w:spacing w:val="0"/>
          <w:w w:val="100"/>
          <w:position w:val="0"/>
          <w:sz w:val="28"/>
          <w:szCs w:val="28"/>
          <w:lang w:val="en-US" w:eastAsia="zh-CN"/>
        </w:rPr>
        <w:t>3、</w:t>
      </w:r>
      <w:r>
        <w:rPr>
          <w:rFonts w:hint="eastAsia" w:ascii="宋体" w:hAnsi="宋体" w:eastAsia="宋体" w:cs="宋体"/>
          <w:b/>
          <w:bCs/>
          <w:color w:val="000000"/>
          <w:spacing w:val="0"/>
          <w:w w:val="100"/>
          <w:position w:val="0"/>
          <w:sz w:val="28"/>
          <w:szCs w:val="28"/>
        </w:rPr>
        <w:t>项目资金管理情况分析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为加强专项资金的管理和监督，规范专项资金使用，提高资金使用效益，我局项目资金严格按照财务管理制度和预算资金管理办法，坚持“量入为出和专款专用”的原则，合理安排和使用资金。</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部门整体支出绩效情况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经济性分析：我单位预算（控制）优，执行预算时厉行节约。</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效率性分析：2021年，我局积极做好民生工程，及时处理好12345热线工单，并做好乡镇报告和来电来访的接待处理。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有效性分析：我局每一笔专项资金的使用落实到实处，圆满完成预期目标。例如，基本农田设施建设、农村改厕、农产品质量安全、农业生产支持补贴、乡村振兴产业发展为老百姓改善生活环境。</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2021年，我单位积极履职，强化管理，较好地完成了年度工作目标。通过加强预算收支管理，不断建立健全内部管理制度，梳理内部管理流程，部门整体支出管理水平得到提升。根据部门整体支出绩效评价指标体系，我单位2021年度评价得分为98分。</w:t>
      </w:r>
    </w:p>
    <w:p>
      <w:pPr>
        <w:pStyle w:val="19"/>
        <w:keepNext w:val="0"/>
        <w:keepLines w:val="0"/>
        <w:pageBreakBefore w:val="0"/>
        <w:widowControl/>
        <w:kinsoku/>
        <w:overflowPunct/>
        <w:topLinePunct w:val="0"/>
        <w:autoSpaceDE/>
        <w:autoSpaceDN/>
        <w:bidi w:val="0"/>
        <w:adjustRightInd/>
        <w:snapToGrid/>
        <w:spacing w:beforeAutospacing="0" w:afterAutospacing="0" w:line="240" w:lineRule="auto"/>
        <w:ind w:firstLine="640"/>
        <w:textAlignment w:val="auto"/>
        <w:rPr>
          <w:rFonts w:hint="eastAsia" w:ascii="黑体" w:hAnsi="黑体" w:eastAsia="黑体" w:cs="黑体"/>
          <w:sz w:val="30"/>
          <w:szCs w:val="30"/>
        </w:rPr>
      </w:pPr>
      <w:r>
        <w:rPr>
          <w:rFonts w:hint="eastAsia" w:eastAsia="黑体"/>
          <w:sz w:val="32"/>
          <w:szCs w:val="32"/>
          <w:lang w:eastAsia="zh-CN"/>
        </w:rPr>
        <w:t>四</w:t>
      </w:r>
      <w:r>
        <w:rPr>
          <w:rFonts w:eastAsia="黑体"/>
          <w:sz w:val="32"/>
          <w:szCs w:val="32"/>
        </w:rPr>
        <w:t>、存在的问题及原因分析</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1</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由于疫情冲击、厉行节约等因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，一方面会议费、培训费、公务接待等项目执行情况与年初预算有一定的偏差，预算执行率偏低；另一方面由于人员经费的政策性调整，</w:t>
      </w:r>
      <w:r>
        <w:rPr>
          <w:rFonts w:hint="eastAsia" w:eastAsia="仿宋_GB2312" w:cs="Times New Roman"/>
          <w:sz w:val="32"/>
          <w:szCs w:val="32"/>
          <w:lang w:val="en-US" w:eastAsia="zh-CN"/>
        </w:rPr>
        <w:t>以及部分公共财政项目支出增加，</w:t>
      </w:r>
      <w:r>
        <w:rPr>
          <w:rFonts w:hint="eastAsia" w:eastAsia="仿宋_GB2312" w:cs="Times New Roman"/>
          <w:sz w:val="32"/>
          <w:szCs w:val="32"/>
          <w:lang w:eastAsia="zh-CN"/>
        </w:rPr>
        <w:t>年中存在追加的情况。我们将在下年加以重视，提前谋划，科学编制项目预算，进一步提高预算编制的精确性。</w:t>
      </w:r>
      <w:r>
        <w:rPr>
          <w:rFonts w:hint="eastAsia" w:eastAsia="仿宋_GB2312"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工作需要不一致，不便于预算的执行。为确保资金专款专用，需要在年度内进行预算指标调整，从而导致了预算调整数增加。</w:t>
      </w:r>
    </w:p>
    <w:p>
      <w:pPr>
        <w:pStyle w:val="2"/>
        <w:ind w:firstLine="640" w:firstLineChars="200"/>
        <w:rPr>
          <w:rFonts w:hint="eastAsia"/>
          <w:lang w:val="en-US" w:eastAsia="zh-CN"/>
        </w:rPr>
      </w:pPr>
      <w:r>
        <w:rPr>
          <w:rFonts w:hint="eastAsia" w:ascii="仿宋" w:hAnsi="仿宋" w:eastAsia="仿宋" w:cs="Arial"/>
          <w:b/>
          <w:bCs/>
          <w:color w:val="333333"/>
          <w:kern w:val="2"/>
          <w:sz w:val="32"/>
          <w:szCs w:val="32"/>
          <w:lang w:val="en-US" w:eastAsia="zh-CN" w:bidi="ar-SA"/>
        </w:rPr>
        <w:t>（3）预算编制工作有待细化。</w:t>
      </w:r>
      <w:r>
        <w:rPr>
          <w:rFonts w:hint="eastAsia" w:ascii="仿宋_GB2312" w:hAnsi="Calibri" w:eastAsia="仿宋_GB2312" w:cs="Times New Roman"/>
          <w:kern w:val="2"/>
          <w:sz w:val="32"/>
          <w:szCs w:val="32"/>
          <w:u w:val="none"/>
          <w:shd w:val="clear"/>
          <w:lang w:val="en-US" w:eastAsia="zh-CN" w:bidi="ar-SA"/>
        </w:rPr>
        <w:t>预算编制不够明确和细化，预算编制的合理性需要提高，预算执行力度还要进一步加强。</w:t>
      </w:r>
    </w:p>
    <w:p>
      <w:pPr>
        <w:keepNext w:val="0"/>
        <w:keepLines w:val="0"/>
        <w:pageBreakBefore w:val="0"/>
        <w:kinsoku/>
        <w:overflowPunct/>
        <w:topLinePunct w:val="0"/>
        <w:autoSpaceDE/>
        <w:autoSpaceDN/>
        <w:bidi w:val="0"/>
        <w:adjustRightInd/>
        <w:snapToGrid/>
        <w:spacing w:beforeAutospacing="0" w:afterAutospacing="0" w:line="24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 xml:space="preserve">、下一步改进措施 </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针对上述存在的问题及我局整体支出管理工作的需要，拟采取以下改进措施：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lang w:val="en-US" w:eastAsia="zh-CN"/>
        </w:rPr>
        <w:t>（一）科学编制预算。</w:t>
      </w:r>
      <w:r>
        <w:rPr>
          <w:rFonts w:hint="eastAsia" w:ascii="仿宋_GB2312" w:hAnsi="仿宋_GB2312" w:eastAsia="仿宋_GB2312" w:cs="仿宋_GB2312"/>
          <w:sz w:val="32"/>
          <w:szCs w:val="32"/>
          <w:lang w:val="en-US" w:eastAsia="zh-CN"/>
        </w:rPr>
        <w:t>加强对年度财务收支情况进行分析对比，提前了解年度</w:t>
      </w:r>
      <w:r>
        <w:rPr>
          <w:rFonts w:hint="eastAsia" w:ascii="仿宋" w:hAnsi="仿宋" w:eastAsia="仿宋" w:cs="仿宋"/>
          <w:sz w:val="32"/>
          <w:szCs w:val="32"/>
        </w:rPr>
        <w:t>预算收支变化因素</w:t>
      </w:r>
      <w:r>
        <w:rPr>
          <w:rFonts w:hint="eastAsia" w:ascii="仿宋" w:hAnsi="仿宋" w:eastAsia="仿宋" w:cs="仿宋"/>
          <w:sz w:val="32"/>
          <w:szCs w:val="32"/>
          <w:lang w:eastAsia="zh-CN"/>
        </w:rPr>
        <w:t>，科学</w:t>
      </w:r>
      <w:r>
        <w:rPr>
          <w:rFonts w:hint="eastAsia" w:ascii="仿宋" w:hAnsi="仿宋" w:eastAsia="仿宋" w:cs="仿宋"/>
          <w:sz w:val="32"/>
          <w:szCs w:val="32"/>
          <w:lang w:val="en-US" w:eastAsia="zh-CN"/>
        </w:rPr>
        <w:t>合理编制预算；</w:t>
      </w:r>
      <w:r>
        <w:rPr>
          <w:rFonts w:hint="eastAsia" w:ascii="仿宋" w:hAnsi="仿宋" w:eastAsia="仿宋" w:cs="仿宋"/>
          <w:sz w:val="32"/>
          <w:szCs w:val="32"/>
          <w:lang w:eastAsia="zh-CN"/>
        </w:rPr>
        <w:t>认真</w:t>
      </w:r>
      <w:r>
        <w:rPr>
          <w:rFonts w:hint="eastAsia" w:ascii="仿宋" w:hAnsi="仿宋" w:eastAsia="仿宋" w:cs="仿宋"/>
          <w:sz w:val="32"/>
          <w:szCs w:val="32"/>
        </w:rPr>
        <w:t>分析</w:t>
      </w:r>
      <w:r>
        <w:rPr>
          <w:rFonts w:hint="eastAsia" w:ascii="仿宋" w:hAnsi="仿宋" w:eastAsia="仿宋" w:cs="仿宋"/>
          <w:sz w:val="32"/>
          <w:szCs w:val="32"/>
          <w:lang w:eastAsia="zh-CN"/>
        </w:rPr>
        <w:t>测算</w:t>
      </w:r>
      <w:r>
        <w:rPr>
          <w:rFonts w:hint="eastAsia" w:ascii="仿宋" w:hAnsi="仿宋" w:eastAsia="仿宋" w:cs="仿宋"/>
          <w:sz w:val="32"/>
          <w:szCs w:val="32"/>
        </w:rPr>
        <w:t>预算项目的必要性、可行性和所需资金，将预算细化到</w:t>
      </w:r>
      <w:r>
        <w:rPr>
          <w:rFonts w:hint="eastAsia" w:ascii="仿宋_GB2312" w:hAnsi="仿宋_GB2312" w:eastAsia="仿宋_GB2312" w:cs="仿宋_GB2312"/>
          <w:sz w:val="32"/>
          <w:szCs w:val="32"/>
          <w:lang w:val="en-US" w:eastAsia="zh-CN"/>
        </w:rPr>
        <w:t>支出经济分类项目</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提高预算编制的</w:t>
      </w:r>
      <w:r>
        <w:rPr>
          <w:rFonts w:hint="eastAsia" w:ascii="仿宋" w:hAnsi="仿宋" w:eastAsia="仿宋" w:cs="仿宋"/>
          <w:sz w:val="32"/>
          <w:szCs w:val="32"/>
        </w:rPr>
        <w:t>科学性、合理性和准确性</w:t>
      </w:r>
      <w:r>
        <w:rPr>
          <w:rFonts w:hint="eastAsia" w:ascii="仿宋_GB2312" w:hAnsi="仿宋_GB2312" w:eastAsia="仿宋_GB2312" w:cs="仿宋_GB2312"/>
          <w:sz w:val="32"/>
          <w:szCs w:val="32"/>
          <w:lang w:val="en-US" w:eastAsia="zh-CN"/>
        </w:rPr>
        <w:t>，以</w:t>
      </w:r>
      <w:r>
        <w:rPr>
          <w:rFonts w:hint="eastAsia" w:ascii="仿宋" w:hAnsi="仿宋" w:eastAsia="仿宋" w:cs="仿宋"/>
          <w:sz w:val="32"/>
          <w:szCs w:val="32"/>
        </w:rPr>
        <w:t>增强预算的可操作性，减少</w:t>
      </w:r>
      <w:r>
        <w:rPr>
          <w:rFonts w:hint="eastAsia" w:ascii="仿宋" w:hAnsi="仿宋" w:eastAsia="仿宋" w:cs="仿宋"/>
          <w:sz w:val="32"/>
          <w:szCs w:val="32"/>
          <w:lang w:eastAsia="zh-CN"/>
        </w:rPr>
        <w:t>预算调整事项</w:t>
      </w:r>
      <w:r>
        <w:rPr>
          <w:rFonts w:hint="eastAsia" w:ascii="仿宋" w:hAnsi="仿宋" w:eastAsia="仿宋" w:cs="仿宋"/>
          <w:sz w:val="32"/>
          <w:szCs w:val="32"/>
        </w:rPr>
        <w:t>，以提高财政资金使用效益。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（二）强化预算执行。</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同时强化项目库管理，整合项目资金，进一步强化预算刚性约束。</w:t>
      </w: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Autospacing="0" w:afterAutospacing="0" w:line="240" w:lineRule="auto"/>
        <w:textAlignment w:val="auto"/>
        <w:rPr>
          <w:rFonts w:ascii="Times New Roman" w:hAnsi="Times New Roman"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640"/>
        <w:textAlignment w:val="auto"/>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pPr>
        <w:pStyle w:val="25"/>
        <w:keepNext w:val="0"/>
        <w:keepLines w:val="0"/>
        <w:pageBreakBefore w:val="0"/>
        <w:widowControl w:val="0"/>
        <w:shd w:val="clear" w:color="auto" w:fill="auto"/>
        <w:kinsoku/>
        <w:wordWrap/>
        <w:overflowPunct/>
        <w:topLinePunct w:val="0"/>
        <w:autoSpaceDE/>
        <w:autoSpaceDN/>
        <w:bidi w:val="0"/>
        <w:adjustRightInd/>
        <w:snapToGrid/>
        <w:spacing w:after="420" w:line="400" w:lineRule="exact"/>
        <w:ind w:left="0" w:leftChars="0" w:right="0" w:firstLine="0" w:firstLineChars="0"/>
        <w:jc w:val="center"/>
        <w:textAlignment w:val="auto"/>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1" w:name="bookmark85"/>
      <w:bookmarkStart w:id="2" w:name="bookmark87"/>
      <w:bookmarkStart w:id="3"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1"/>
      <w:bookmarkEnd w:id="2"/>
      <w:bookmarkEnd w:id="3"/>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val="en-US" w:eastAsia="zh-CN"/>
        </w:rPr>
        <w:t>珠晖区农业农村局</w:t>
      </w:r>
    </w:p>
    <w:tbl>
      <w:tblPr>
        <w:tblStyle w:val="10"/>
        <w:tblW w:w="9437" w:type="dxa"/>
        <w:jc w:val="center"/>
        <w:tblLayout w:type="fixed"/>
        <w:tblCellMar>
          <w:top w:w="0" w:type="dxa"/>
          <w:left w:w="10" w:type="dxa"/>
          <w:bottom w:w="0" w:type="dxa"/>
          <w:right w:w="10" w:type="dxa"/>
        </w:tblCellMar>
      </w:tblPr>
      <w:tblGrid>
        <w:gridCol w:w="2114"/>
        <w:gridCol w:w="1942"/>
        <w:gridCol w:w="1031"/>
        <w:gridCol w:w="1120"/>
        <w:gridCol w:w="1166"/>
        <w:gridCol w:w="1013"/>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2973"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520"/>
              <w:jc w:val="center"/>
              <w:rPr>
                <w:rFonts w:hint="eastAsia" w:ascii="宋体" w:hAnsi="宋体" w:eastAsia="宋体" w:cs="宋体"/>
                <w:color w:val="000000"/>
                <w:spacing w:val="0"/>
                <w:w w:val="100"/>
                <w:position w:val="0"/>
                <w:sz w:val="24"/>
                <w:szCs w:val="24"/>
                <w:lang w:val="zh-CN" w:eastAsia="zh-CN"/>
              </w:rPr>
            </w:pPr>
          </w:p>
        </w:tc>
        <w:tc>
          <w:tcPr>
            <w:tcW w:w="2286"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jc w:val="center"/>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520"/>
              <w:jc w:val="center"/>
              <w:rPr>
                <w:rFonts w:hint="eastAsia" w:ascii="宋体" w:hAnsi="宋体" w:eastAsia="宋体" w:cs="宋体"/>
                <w:color w:val="000000"/>
                <w:spacing w:val="0"/>
                <w:w w:val="100"/>
                <w:position w:val="0"/>
                <w:sz w:val="24"/>
                <w:szCs w:val="24"/>
                <w:lang w:val="zh-CN" w:eastAsia="zh-CN"/>
              </w:rPr>
            </w:pPr>
          </w:p>
        </w:tc>
      </w:tr>
      <w:tr>
        <w:tblPrEx>
          <w:tblCellMar>
            <w:top w:w="0" w:type="dxa"/>
            <w:left w:w="10" w:type="dxa"/>
            <w:bottom w:w="0" w:type="dxa"/>
            <w:right w:w="10" w:type="dxa"/>
          </w:tblCellMar>
        </w:tblPrEx>
        <w:trPr>
          <w:trHeight w:val="442" w:hRule="exact"/>
          <w:jc w:val="center"/>
        </w:trPr>
        <w:tc>
          <w:tcPr>
            <w:tcW w:w="2114"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2973"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86"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color w:val="000000"/>
                <w:spacing w:val="0"/>
                <w:w w:val="100"/>
                <w:position w:val="0"/>
                <w:sz w:val="24"/>
                <w:szCs w:val="24"/>
              </w:rPr>
              <w:t>年实际在职人数</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2114"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2973"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228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206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color w:val="000000"/>
                <w:spacing w:val="0"/>
                <w:w w:val="100"/>
                <w:position w:val="0"/>
                <w:sz w:val="21"/>
                <w:szCs w:val="21"/>
              </w:rPr>
              <w:t>20</w:t>
            </w:r>
            <w:r>
              <w:rPr>
                <w:rFonts w:hint="eastAsia" w:ascii="宋体" w:hAnsi="宋体" w:cs="宋体"/>
                <w:b/>
                <w:bCs/>
                <w:color w:val="000000"/>
                <w:spacing w:val="0"/>
                <w:w w:val="100"/>
                <w:position w:val="0"/>
                <w:sz w:val="21"/>
                <w:szCs w:val="21"/>
                <w:lang w:val="en-US" w:eastAsia="zh-CN"/>
              </w:rPr>
              <w:t>20</w:t>
            </w:r>
            <w:r>
              <w:rPr>
                <w:rFonts w:hint="eastAsia" w:ascii="宋体" w:hAnsi="宋体" w:eastAsia="宋体" w:cs="宋体"/>
                <w:color w:val="000000"/>
                <w:spacing w:val="0"/>
                <w:w w:val="100"/>
                <w:position w:val="0"/>
                <w:sz w:val="21"/>
                <w:szCs w:val="21"/>
              </w:rPr>
              <w:t>年实际在职人数</w:t>
            </w:r>
            <w:r>
              <w:rPr>
                <w:rFonts w:hint="eastAsia" w:ascii="宋体" w:hAnsi="宋体" w:eastAsia="宋体" w:cs="宋体"/>
                <w:color w:val="000000"/>
                <w:spacing w:val="0"/>
                <w:w w:val="100"/>
                <w:position w:val="0"/>
                <w:sz w:val="21"/>
                <w:szCs w:val="21"/>
                <w:lang w:val="en-US" w:eastAsia="zh-CN"/>
              </w:rPr>
              <w:t>/</w:t>
            </w:r>
            <w:r>
              <w:rPr>
                <w:rFonts w:hint="eastAsia" w:ascii="宋体" w:hAnsi="宋体" w:eastAsia="宋体" w:cs="宋体"/>
                <w:color w:val="000000"/>
                <w:spacing w:val="0"/>
                <w:w w:val="100"/>
                <w:position w:val="0"/>
                <w:sz w:val="21"/>
                <w:szCs w:val="21"/>
              </w:rPr>
              <w:t>编制数</w:t>
            </w:r>
          </w:p>
        </w:tc>
      </w:tr>
      <w:tr>
        <w:tblPrEx>
          <w:tblCellMar>
            <w:top w:w="0" w:type="dxa"/>
            <w:left w:w="10" w:type="dxa"/>
            <w:bottom w:w="0" w:type="dxa"/>
            <w:right w:w="10" w:type="dxa"/>
          </w:tblCellMar>
        </w:tblPrEx>
        <w:trPr>
          <w:trHeight w:val="9991" w:hRule="exact"/>
          <w:jc w:val="center"/>
        </w:trPr>
        <w:tc>
          <w:tcPr>
            <w:tcW w:w="211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sz w:val="24"/>
                <w:szCs w:val="24"/>
              </w:rPr>
              <w:t>职能职责概述</w:t>
            </w:r>
          </w:p>
        </w:tc>
        <w:tc>
          <w:tcPr>
            <w:tcW w:w="73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统筹研究和组织实施“三农”工作的发展中长期规划、重大政策。指导农业综合执法。参与涉农的价格、收储、金融保险、进出口等政策制定。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2、</w:t>
            </w:r>
            <w:r>
              <w:rPr>
                <w:rFonts w:hint="eastAsia" w:ascii="仿宋_GB2312" w:eastAsia="仿宋_GB2312"/>
                <w:sz w:val="18"/>
                <w:szCs w:val="18"/>
              </w:rPr>
              <w:t>统筹推动发展农村社会事业、农村公共服务、农村文化、农村基础设施和乡村治理。配合有关部门指导农业劳动模范管理工作，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3、</w:t>
            </w:r>
            <w:r>
              <w:rPr>
                <w:rFonts w:hint="eastAsia" w:ascii="仿宋_GB2312" w:eastAsia="仿宋_GB2312"/>
                <w:sz w:val="18"/>
                <w:szCs w:val="18"/>
              </w:rPr>
              <w:t>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4、</w:t>
            </w:r>
            <w:r>
              <w:rPr>
                <w:rFonts w:hint="eastAsia" w:ascii="仿宋_GB2312" w:eastAsia="仿宋_GB2312"/>
                <w:sz w:val="18"/>
                <w:szCs w:val="18"/>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5、</w:t>
            </w:r>
            <w:r>
              <w:rPr>
                <w:rFonts w:hint="eastAsia" w:ascii="仿宋_GB2312" w:eastAsia="仿宋_GB2312"/>
                <w:sz w:val="18"/>
                <w:szCs w:val="18"/>
              </w:rPr>
              <w:t>负责种植业、畜牧业、渔业、农垦、农业机械化等农业各产业的监督管理。指导粮食、蔬菜等农作物生产。组织构建现代农业产业体系、生产体系、经营体系，指导农业标准化生产。负责渔政渔港监督管理。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6、</w:t>
            </w:r>
            <w:r>
              <w:rPr>
                <w:rFonts w:hint="eastAsia" w:ascii="仿宋_GB2312" w:eastAsia="仿宋_GB2312"/>
                <w:sz w:val="18"/>
                <w:szCs w:val="18"/>
              </w:rPr>
              <w:t>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7、</w:t>
            </w:r>
            <w:r>
              <w:rPr>
                <w:rFonts w:hint="eastAsia" w:ascii="仿宋_GB2312" w:eastAsia="仿宋_GB2312"/>
                <w:sz w:val="18"/>
                <w:szCs w:val="18"/>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开发综合开发利用、农业综合开发、农业生物质产业发展。牵头管理外来物种。负责农田建设、农田整治项目的申报、管理、实施和运行工作，承担农田水利建设项目管理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8、</w:t>
            </w:r>
            <w:r>
              <w:rPr>
                <w:rFonts w:hint="eastAsia" w:ascii="仿宋_GB2312" w:eastAsia="仿宋_GB2312"/>
                <w:sz w:val="18"/>
                <w:szCs w:val="18"/>
              </w:rPr>
              <w:t>负责有关农业生产资料和农业投入品的监督管理。组织农业生产资料市场体系建设，贯彻执行农业生产资料、农药残留、兽药残留限量和残留检测方法国家标准并监督实施。组织兽医医政、兽药药政药检工作，负责执业兽医和畜禽防疫检疫监督管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9、</w:t>
            </w:r>
            <w:r>
              <w:rPr>
                <w:rFonts w:hint="eastAsia" w:ascii="仿宋_GB2312" w:eastAsia="仿宋_GB2312"/>
                <w:sz w:val="18"/>
                <w:szCs w:val="18"/>
              </w:rPr>
              <w:t>负责农业防灾减灾、农作物重大病虫害防治工作。指导动植物防疫检疫体系建设，组织、监督区内动植物防疫检疫工作，发布疫情并组织扑灭。</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10、</w:t>
            </w:r>
            <w:r>
              <w:rPr>
                <w:rFonts w:hint="eastAsia" w:ascii="仿宋_GB2312" w:eastAsia="仿宋_GB2312"/>
                <w:sz w:val="18"/>
                <w:szCs w:val="18"/>
              </w:rPr>
              <w:t>负责农业投资管理。编制农业投资项目建设规划，提出农业投资规模和方向、扶持农业农村发展财政项目的建议，按规定权限审批农业投资项目，负责农业投资项目资金安排和监督管理。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11、</w:t>
            </w:r>
            <w:r>
              <w:rPr>
                <w:rFonts w:hint="eastAsia" w:ascii="仿宋_GB2312" w:eastAsia="仿宋_GB2312"/>
                <w:sz w:val="18"/>
                <w:szCs w:val="18"/>
              </w:rPr>
              <w:t>推动农业科技体制改革和农业科技创新体系建设。指导农业产业技术体系和农技推广体系建设，组织开展农业领域的高新技术和应用技术研究，指导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rPr>
            </w:pPr>
            <w:r>
              <w:rPr>
                <w:rFonts w:hint="eastAsia" w:ascii="仿宋_GB2312" w:eastAsia="仿宋_GB2312"/>
                <w:sz w:val="18"/>
                <w:szCs w:val="18"/>
                <w:lang w:val="en-US" w:eastAsia="zh-CN"/>
              </w:rPr>
              <w:t>12、</w:t>
            </w:r>
            <w:r>
              <w:rPr>
                <w:rFonts w:hint="eastAsia" w:ascii="仿宋_GB2312" w:eastAsia="仿宋_GB2312"/>
                <w:sz w:val="18"/>
                <w:szCs w:val="18"/>
              </w:rPr>
              <w:t>组织参与农业对外合作工作。承办有关农业涉外事务，组织开展农业贸易促进和有关对外交流合作，具体执行有关农业援外项目。</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13、</w:t>
            </w:r>
            <w:r>
              <w:rPr>
                <w:rFonts w:hint="eastAsia" w:ascii="仿宋_GB2312" w:eastAsia="仿宋_GB2312"/>
                <w:sz w:val="18"/>
                <w:szCs w:val="18"/>
              </w:rPr>
              <w:t>承办区委、区人民政府交办的其他事项。</w:t>
            </w:r>
          </w:p>
        </w:tc>
      </w:tr>
      <w:tr>
        <w:tblPrEx>
          <w:tblCellMar>
            <w:top w:w="0" w:type="dxa"/>
            <w:left w:w="10" w:type="dxa"/>
            <w:bottom w:w="0" w:type="dxa"/>
            <w:right w:w="10" w:type="dxa"/>
          </w:tblCellMar>
        </w:tblPrEx>
        <w:trPr>
          <w:trHeight w:val="10542" w:hRule="exact"/>
          <w:jc w:val="center"/>
        </w:trPr>
        <w:tc>
          <w:tcPr>
            <w:tcW w:w="2114" w:type="dxa"/>
            <w:tcBorders>
              <w:top w:val="single" w:color="auto" w:sz="4" w:space="0"/>
              <w:left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sz w:val="24"/>
                <w:szCs w:val="24"/>
              </w:rPr>
              <w:t>年度主要工作内容</w:t>
            </w:r>
          </w:p>
        </w:tc>
        <w:tc>
          <w:tcPr>
            <w:tcW w:w="7323" w:type="dxa"/>
            <w:gridSpan w:val="6"/>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hAnsi="仿宋_GB2312" w:eastAsia="仿宋_GB2312" w:cs="仿宋_GB2312"/>
                <w:sz w:val="21"/>
                <w:szCs w:val="21"/>
                <w:lang w:eastAsia="zh-CN"/>
              </w:rPr>
            </w:pPr>
            <w:r>
              <w:rPr>
                <w:rFonts w:hint="eastAsia" w:ascii="仿宋_GB2312" w:eastAsia="仿宋_GB2312" w:cs="Times New Roman"/>
                <w:color w:val="000000"/>
                <w:sz w:val="21"/>
                <w:szCs w:val="21"/>
              </w:rPr>
              <w:t>全区农业生产总体平稳向好，农业转型升级工作取得明显进展，特色强农之路不断拓宽。</w:t>
            </w:r>
            <w:r>
              <w:rPr>
                <w:rFonts w:hint="eastAsia" w:ascii="仿宋_GB2312" w:hAnsi="仿宋_GB2312" w:eastAsia="仿宋_GB2312" w:cs="仿宋_GB2312"/>
                <w:sz w:val="21"/>
                <w:szCs w:val="21"/>
              </w:rPr>
              <w:t>落实粮食种植总面积7.8万亩，蔬菜种植面积4422亩，瓜果种植面积5093亩，实现生产良种化、区域化、规模化发展</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突出做好疫情防控，非洲猪瘟疫情得到有效控制，实现生猪饲养3万头，市场供应基本正常；实现畜禽饲养5万羽，规模化程度进一步提高；实现放养水面6500亩，水产设施养殖形势明朗</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hAnsi="仿宋_GB2312" w:eastAsia="仿宋_GB2312" w:cs="仿宋_GB2312"/>
                <w:bCs/>
                <w:sz w:val="21"/>
                <w:szCs w:val="21"/>
                <w:lang w:eastAsia="zh-CN"/>
              </w:rPr>
            </w:pPr>
            <w:r>
              <w:rPr>
                <w:rFonts w:hint="eastAsia" w:ascii="仿宋_GB2312" w:eastAsia="仿宋_GB2312"/>
                <w:color w:val="000000"/>
                <w:sz w:val="21"/>
                <w:szCs w:val="21"/>
              </w:rPr>
              <w:t>全年</w:t>
            </w:r>
            <w:r>
              <w:rPr>
                <w:rFonts w:hint="eastAsia" w:ascii="仿宋_GB2312" w:eastAsia="仿宋_GB2312"/>
                <w:sz w:val="21"/>
                <w:szCs w:val="21"/>
              </w:rPr>
              <w:t>完成2018-2019年长江防护林造林任务</w:t>
            </w:r>
            <w:r>
              <w:rPr>
                <w:rFonts w:ascii="仿宋_GB2312" w:eastAsia="仿宋_GB2312"/>
                <w:sz w:val="21"/>
                <w:szCs w:val="21"/>
              </w:rPr>
              <w:t>0.</w:t>
            </w:r>
            <w:r>
              <w:rPr>
                <w:rFonts w:hint="eastAsia" w:ascii="仿宋_GB2312" w:eastAsia="仿宋_GB2312"/>
                <w:sz w:val="21"/>
                <w:szCs w:val="21"/>
              </w:rPr>
              <w:t>2万亩；封山育林0.1万亩；中幼林抚育0.2万亩；“秀美村庄”创建面达到</w:t>
            </w:r>
            <w:r>
              <w:rPr>
                <w:rFonts w:ascii="仿宋_GB2312" w:eastAsia="仿宋_GB2312"/>
                <w:sz w:val="21"/>
                <w:szCs w:val="21"/>
              </w:rPr>
              <w:t>100</w:t>
            </w:r>
            <w:r>
              <w:rPr>
                <w:rFonts w:hint="eastAsia" w:ascii="仿宋_GB2312" w:eastAsia="仿宋_GB2312"/>
                <w:sz w:val="21"/>
                <w:szCs w:val="21"/>
              </w:rPr>
              <w:t>％；森林覆盖率增长0.1个百分点，国土绿化率达到</w:t>
            </w:r>
            <w:r>
              <w:rPr>
                <w:rFonts w:ascii="仿宋_GB2312" w:eastAsia="仿宋_GB2312"/>
                <w:sz w:val="21"/>
                <w:szCs w:val="21"/>
              </w:rPr>
              <w:t>26.</w:t>
            </w:r>
            <w:r>
              <w:rPr>
                <w:rFonts w:hint="eastAsia" w:ascii="仿宋_GB2312" w:eastAsia="仿宋_GB2312"/>
                <w:sz w:val="21"/>
                <w:szCs w:val="21"/>
              </w:rPr>
              <w:t>4%；森林蓄积量增长</w:t>
            </w:r>
            <w:r>
              <w:rPr>
                <w:rFonts w:ascii="仿宋_GB2312" w:eastAsia="仿宋_GB2312"/>
                <w:sz w:val="21"/>
                <w:szCs w:val="21"/>
              </w:rPr>
              <w:t>4</w:t>
            </w:r>
            <w:r>
              <w:rPr>
                <w:rFonts w:hint="eastAsia" w:ascii="仿宋_GB2312" w:eastAsia="仿宋_GB2312"/>
                <w:sz w:val="21"/>
                <w:szCs w:val="21"/>
              </w:rPr>
              <w:t>个百分点，达26万立方米</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eastAsia="仿宋_GB2312"/>
                <w:sz w:val="21"/>
                <w:szCs w:val="21"/>
                <w:lang w:eastAsia="zh-CN"/>
              </w:rPr>
            </w:pPr>
            <w:r>
              <w:rPr>
                <w:rFonts w:hint="eastAsia" w:ascii="仿宋_GB2312" w:eastAsia="仿宋_GB2312"/>
                <w:sz w:val="21"/>
                <w:szCs w:val="21"/>
              </w:rPr>
              <w:t>全面完成农村集体产权清产核资，行政村账面资产总额31384.52万元，其中经营性资产共计7011.06万元；集体土地总面积20.95万亩，其中农用地18.75万亩</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ascii="仿宋_GB2312" w:eastAsia="仿宋_GB2312"/>
                <w:sz w:val="21"/>
                <w:szCs w:val="21"/>
              </w:rPr>
            </w:pPr>
            <w:r>
              <w:rPr>
                <w:rFonts w:hint="eastAsia" w:ascii="仿宋_GB2312" w:eastAsia="仿宋_GB2312" w:cs="Times New Roman"/>
                <w:sz w:val="21"/>
                <w:szCs w:val="21"/>
              </w:rPr>
              <w:t>农民专业合作组织不断壮大。年内新增农民专业合作社18家，累计178家，新增家庭农场1家，累计55家</w:t>
            </w:r>
            <w:r>
              <w:rPr>
                <w:rFonts w:hint="eastAsia" w:ascii="仿宋_GB2312" w:eastAsia="仿宋_GB2312"/>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eastAsia="仿宋_GB2312"/>
                <w:sz w:val="21"/>
                <w:szCs w:val="21"/>
              </w:rPr>
            </w:pPr>
            <w:r>
              <w:rPr>
                <w:rFonts w:hint="eastAsia" w:ascii="仿宋_GB2312" w:eastAsia="仿宋_GB2312"/>
                <w:sz w:val="21"/>
                <w:szCs w:val="21"/>
              </w:rPr>
              <w:t>完成全区511个点位实地踏勘调整与中稻采样，切实保障我区农产品质量安全。</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eastAsia="仿宋_GB2312"/>
                <w:sz w:val="21"/>
                <w:szCs w:val="21"/>
              </w:rPr>
            </w:pPr>
            <w:r>
              <w:rPr>
                <w:rFonts w:hint="eastAsia" w:ascii="仿宋_GB2312" w:hAnsi="仿宋_GB2312" w:eastAsia="仿宋_GB2312" w:cs="仿宋_GB2312"/>
                <w:sz w:val="21"/>
                <w:szCs w:val="21"/>
              </w:rPr>
              <w:t>人居环境整治稳步推进。</w:t>
            </w:r>
            <w:bookmarkStart w:id="4" w:name="_Hlk23021129"/>
            <w:r>
              <w:rPr>
                <w:rFonts w:hint="eastAsia" w:ascii="仿宋_GB2312" w:eastAsia="仿宋_GB2312"/>
                <w:sz w:val="21"/>
                <w:szCs w:val="21"/>
              </w:rPr>
              <w:t>争取4000万人居环境整治专项经费、360万元村庄清洁行动专项经费</w:t>
            </w:r>
            <w:bookmarkEnd w:id="4"/>
            <w:r>
              <w:rPr>
                <w:rFonts w:hint="eastAsia" w:ascii="仿宋_GB2312" w:eastAsia="仿宋_GB2312"/>
                <w:sz w:val="21"/>
                <w:szCs w:val="21"/>
              </w:rPr>
              <w:t>，牵头完善督查评比机制。</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hAnsi="宋体" w:eastAsia="仿宋_GB2312" w:cs="宋体"/>
                <w:bCs/>
                <w:sz w:val="21"/>
                <w:szCs w:val="21"/>
              </w:rPr>
            </w:pPr>
            <w:r>
              <w:rPr>
                <w:rFonts w:hint="eastAsia" w:ascii="仿宋_GB2312" w:hAnsi="宋体" w:eastAsia="仿宋_GB2312" w:cs="宋体"/>
                <w:sz w:val="21"/>
                <w:szCs w:val="21"/>
              </w:rPr>
              <w:t>召开全区非洲猪瘟疫情处置和防控技术培训，</w:t>
            </w:r>
            <w:r>
              <w:rPr>
                <w:rFonts w:hint="eastAsia" w:ascii="仿宋_GB2312" w:hAnsi="仿宋_GB2312" w:eastAsia="仿宋_GB2312" w:cs="仿宋_GB2312"/>
                <w:bCs/>
                <w:sz w:val="21"/>
                <w:szCs w:val="21"/>
              </w:rPr>
              <w:t>印发宣传资料20</w:t>
            </w:r>
            <w:r>
              <w:rPr>
                <w:rFonts w:hint="eastAsia" w:ascii="仿宋_GB2312" w:hAnsi="宋体" w:eastAsia="仿宋_GB2312" w:cs="宋体"/>
                <w:sz w:val="21"/>
                <w:szCs w:val="21"/>
              </w:rPr>
              <w:t>00余份，发放消毒药剂0.5吨，组织排查生猪养殖场（户）548户，分三批次排查生猪9.9354万头（次）；实行24小时值班制度，</w:t>
            </w:r>
            <w:r>
              <w:rPr>
                <w:rFonts w:hint="eastAsia" w:ascii="仿宋_GB2312" w:hAnsi="宋体" w:eastAsia="仿宋_GB2312" w:cs="宋体"/>
                <w:bCs/>
                <w:sz w:val="21"/>
                <w:szCs w:val="21"/>
              </w:rPr>
              <w:t>严把生猪进出口关卡，严格执行检疫申报制度，积极推进病死猪无害化处理和育肥猪保险联动机制，稳定了生猪市场供应。</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eastAsia="仿宋_GB2312" w:cs="Times New Roman"/>
                <w:color w:val="000000"/>
                <w:sz w:val="21"/>
                <w:szCs w:val="21"/>
              </w:rPr>
            </w:pPr>
            <w:r>
              <w:rPr>
                <w:rFonts w:hint="eastAsia" w:ascii="仿宋_GB2312" w:eastAsia="仿宋_GB2312"/>
                <w:sz w:val="21"/>
                <w:szCs w:val="21"/>
              </w:rPr>
              <w:t>抓好有害生物防控。推进松材线虫病除治工作，</w:t>
            </w:r>
            <w:r>
              <w:rPr>
                <w:rFonts w:hint="eastAsia" w:ascii="仿宋_GB2312" w:eastAsia="仿宋_GB2312" w:cs="仿宋_GB2312"/>
                <w:sz w:val="21"/>
                <w:szCs w:val="21"/>
              </w:rPr>
              <w:t>悬挂松褐天牛诱捕器50余个，</w:t>
            </w:r>
            <w:r>
              <w:rPr>
                <w:rFonts w:hint="eastAsia" w:ascii="仿宋_GB2312" w:eastAsia="仿宋_GB2312"/>
                <w:sz w:val="21"/>
                <w:szCs w:val="21"/>
              </w:rPr>
              <w:t>清除民星村、太山村、76313、76131部队等地枯死松木、濒死松木、衰弱松木3600余株</w:t>
            </w:r>
            <w:r>
              <w:rPr>
                <w:rFonts w:hint="eastAsia" w:ascii="仿宋_GB2312" w:eastAsia="仿宋_GB2312" w:cs="仿宋_GB2312"/>
                <w:sz w:val="21"/>
                <w:szCs w:val="21"/>
              </w:rPr>
              <w:t>，</w:t>
            </w:r>
            <w:r>
              <w:rPr>
                <w:rFonts w:hint="eastAsia" w:ascii="仿宋_GB2312" w:eastAsia="仿宋_GB2312" w:cs="Times New Roman"/>
                <w:color w:val="000000"/>
                <w:sz w:val="21"/>
                <w:szCs w:val="21"/>
              </w:rPr>
              <w:t>有效遏制了疫情蔓延。</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ascii="仿宋_GB2312" w:eastAsia="仿宋_GB2312"/>
                <w:sz w:val="21"/>
                <w:szCs w:val="21"/>
              </w:rPr>
            </w:pPr>
            <w:r>
              <w:rPr>
                <w:rFonts w:hint="eastAsia" w:ascii="仿宋_GB2312" w:eastAsia="仿宋_GB2312"/>
                <w:sz w:val="21"/>
                <w:szCs w:val="21"/>
              </w:rPr>
              <w:t>森林火灾防控。</w:t>
            </w:r>
            <w:r>
              <w:rPr>
                <w:rFonts w:hint="eastAsia" w:ascii="仿宋_GB2312" w:eastAsia="仿宋_GB2312" w:cs="Times New Roman"/>
                <w:color w:val="000000"/>
                <w:sz w:val="21"/>
                <w:szCs w:val="21"/>
              </w:rPr>
              <w:t>积极落实森林防火安全责任制，春节、清明、中秋国庆等重要节日共组织村组干部、护林员巡山800人次，</w:t>
            </w:r>
            <w:r>
              <w:rPr>
                <w:rFonts w:hint="eastAsia" w:ascii="仿宋_GB2312" w:eastAsia="仿宋_GB2312"/>
                <w:sz w:val="21"/>
                <w:szCs w:val="21"/>
              </w:rPr>
              <w:t>新增森林防火宣传警示标牌20块、新购置风力灭火机、二号工具等设备5万余元。</w:t>
            </w:r>
          </w:p>
          <w:p>
            <w:pPr>
              <w:keepNext w:val="0"/>
              <w:keepLines w:val="0"/>
              <w:pageBreakBefore w:val="0"/>
              <w:widowControl w:val="0"/>
              <w:kinsoku/>
              <w:wordWrap/>
              <w:overflowPunct/>
              <w:topLinePunct w:val="0"/>
              <w:autoSpaceDE/>
              <w:autoSpaceDN/>
              <w:bidi w:val="0"/>
              <w:adjustRightInd/>
              <w:snapToGrid/>
              <w:spacing w:after="0" w:line="240" w:lineRule="atLeast"/>
              <w:ind w:firstLine="420" w:firstLineChars="200"/>
              <w:jc w:val="both"/>
              <w:textAlignment w:val="auto"/>
              <w:rPr>
                <w:rFonts w:hint="eastAsia"/>
                <w:sz w:val="21"/>
                <w:szCs w:val="21"/>
              </w:rPr>
            </w:pPr>
            <w:r>
              <w:rPr>
                <w:rFonts w:hint="eastAsia" w:ascii="仿宋_GB2312" w:eastAsia="仿宋_GB2312"/>
                <w:sz w:val="21"/>
                <w:szCs w:val="21"/>
              </w:rPr>
              <w:t>抓好安全隐患防控。加强农业投入品监管力度，</w:t>
            </w:r>
            <w:r>
              <w:rPr>
                <w:rFonts w:hint="eastAsia" w:ascii="仿宋_GB2312" w:hAnsi="华文仿宋" w:eastAsia="仿宋_GB2312" w:cs="Times New Roman"/>
                <w:sz w:val="21"/>
                <w:szCs w:val="21"/>
              </w:rPr>
              <w:t>继续完善农产品质量安全检测体系和监督检查制度，建全农产品产地标识管理和可追溯制度，开展大型农业安全生产宣传2次，对全区蔬菜基地、超市、农贸市场抽检143批次，总抽样数5484，合格率达到99.9%，未发生一例农产品食用中毒事件。</w:t>
            </w:r>
          </w:p>
        </w:tc>
      </w:tr>
      <w:tr>
        <w:tblPrEx>
          <w:tblCellMar>
            <w:top w:w="0" w:type="dxa"/>
            <w:left w:w="10" w:type="dxa"/>
            <w:bottom w:w="0" w:type="dxa"/>
            <w:right w:w="10" w:type="dxa"/>
          </w:tblCellMar>
        </w:tblPrEx>
        <w:trPr>
          <w:trHeight w:val="3023" w:hRule="exact"/>
          <w:jc w:val="center"/>
        </w:trPr>
        <w:tc>
          <w:tcPr>
            <w:tcW w:w="211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73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both"/>
              <w:rPr>
                <w:rFonts w:hint="eastAsia"/>
                <w:sz w:val="24"/>
                <w:szCs w:val="24"/>
              </w:rPr>
            </w:pP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2973" w:type="dxa"/>
            <w:gridSpan w:val="2"/>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年决算数</w:t>
            </w:r>
          </w:p>
        </w:tc>
        <w:tc>
          <w:tcPr>
            <w:tcW w:w="2286" w:type="dxa"/>
            <w:gridSpan w:val="2"/>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年预算数</w:t>
            </w:r>
          </w:p>
        </w:tc>
        <w:tc>
          <w:tcPr>
            <w:tcW w:w="2064" w:type="dxa"/>
            <w:gridSpan w:val="2"/>
            <w:tcBorders>
              <w:top w:val="single" w:color="auto" w:sz="4" w:space="0"/>
              <w:left w:val="single" w:color="auto" w:sz="4" w:space="0"/>
              <w:right w:val="single" w:color="auto" w:sz="4" w:space="0"/>
            </w:tcBorders>
            <w:shd w:val="clear" w:color="auto" w:fill="FFFFFF"/>
            <w:vAlign w:val="bottom"/>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年决算数</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w:t>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64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、公务用车购置和维护经费</w:t>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52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其中：公车购置</w:t>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43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firstLine="720" w:firstLineChars="4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公车运行维护</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3.36</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18"/>
                <w:szCs w:val="18"/>
                <w:lang w:val="en-US"/>
              </w:rPr>
            </w:pPr>
            <w:r>
              <w:rPr>
                <w:rFonts w:hint="eastAsia" w:ascii="宋体" w:hAnsi="宋体" w:cs="宋体"/>
                <w:sz w:val="18"/>
                <w:szCs w:val="18"/>
                <w:lang w:val="en-US" w:eastAsia="zh-CN"/>
              </w:rPr>
              <w:t>3.36</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、出国经费</w:t>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43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、公务接待</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0.46</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18"/>
                <w:szCs w:val="18"/>
                <w:lang w:val="en-US"/>
              </w:rPr>
            </w:pPr>
            <w:r>
              <w:rPr>
                <w:rFonts w:hint="eastAsia" w:ascii="宋体" w:hAnsi="宋体" w:cs="宋体"/>
                <w:sz w:val="18"/>
                <w:szCs w:val="18"/>
                <w:lang w:val="en-US" w:eastAsia="zh-CN"/>
              </w:rPr>
              <w:t>0.46</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项目支出：</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4810.36</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166.00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4810.36</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、业务工作专项</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4810.36</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166.00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18"/>
                <w:szCs w:val="18"/>
                <w:lang w:val="en-US" w:eastAsia="zh-CN"/>
              </w:rPr>
            </w:pPr>
            <w:r>
              <w:rPr>
                <w:rFonts w:hint="eastAsia" w:ascii="宋体" w:hAnsi="宋体" w:cs="宋体"/>
                <w:sz w:val="18"/>
                <w:szCs w:val="18"/>
                <w:lang w:val="en-US" w:eastAsia="zh-CN"/>
              </w:rPr>
              <w:t>4810.36</w:t>
            </w:r>
          </w:p>
        </w:tc>
      </w:tr>
      <w:tr>
        <w:tblPrEx>
          <w:tblCellMar>
            <w:top w:w="0" w:type="dxa"/>
            <w:left w:w="10" w:type="dxa"/>
            <w:bottom w:w="0" w:type="dxa"/>
            <w:right w:w="10" w:type="dxa"/>
          </w:tblCellMar>
        </w:tblPrEx>
        <w:trPr>
          <w:trHeight w:val="43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、运行维护专项</w:t>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tabs>
                <w:tab w:val="left" w:leader="dot" w:pos="1539"/>
              </w:tabs>
              <w:bidi w:val="0"/>
              <w:spacing w:before="0" w:after="0" w:line="240" w:lineRule="auto"/>
              <w:ind w:left="1160" w:right="0" w:firstLine="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lang w:val="en-US" w:eastAsia="en-US" w:bidi="en-US"/>
              </w:rPr>
              <w:tab/>
            </w:r>
          </w:p>
        </w:tc>
        <w:tc>
          <w:tcPr>
            <w:tcW w:w="2973"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43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3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其中：办公经费</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lang w:val="en-US" w:eastAsia="zh-CN"/>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59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firstLine="360" w:firstLineChars="200"/>
              <w:jc w:val="both"/>
              <w:rPr>
                <w:rFonts w:hint="default" w:ascii="宋体" w:hAnsi="宋体" w:eastAsia="宋体" w:cs="宋体"/>
                <w:sz w:val="18"/>
                <w:szCs w:val="18"/>
                <w:lang w:val="en-US" w:eastAsia="zh-CN"/>
              </w:rPr>
            </w:pPr>
            <w:r>
              <w:rPr>
                <w:rFonts w:hint="eastAsia" w:ascii="宋体" w:hAnsi="宋体" w:eastAsia="宋体" w:cs="宋体"/>
                <w:color w:val="000000"/>
                <w:spacing w:val="0"/>
                <w:w w:val="100"/>
                <w:position w:val="0"/>
                <w:sz w:val="18"/>
                <w:szCs w:val="18"/>
              </w:rPr>
              <w:t>水费、电费、差旅费</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租赁费</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542"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right="0" w:firstLine="360" w:firstLineChars="200"/>
              <w:jc w:val="both"/>
              <w:rPr>
                <w:rFonts w:hint="default" w:ascii="宋体" w:hAnsi="宋体" w:eastAsia="宋体" w:cs="宋体"/>
                <w:sz w:val="18"/>
                <w:szCs w:val="18"/>
                <w:lang w:val="en-US" w:eastAsia="zh-CN"/>
              </w:rPr>
            </w:pPr>
            <w:r>
              <w:rPr>
                <w:rFonts w:hint="eastAsia" w:ascii="宋体" w:hAnsi="宋体" w:eastAsia="宋体" w:cs="宋体"/>
                <w:color w:val="000000"/>
                <w:spacing w:val="0"/>
                <w:w w:val="100"/>
                <w:position w:val="0"/>
                <w:sz w:val="18"/>
                <w:szCs w:val="18"/>
              </w:rPr>
              <w:t>会议费、培训费</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工会经费</w:t>
            </w:r>
          </w:p>
        </w:tc>
        <w:tc>
          <w:tcPr>
            <w:tcW w:w="2973"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18"/>
                <w:szCs w:val="18"/>
                <w:lang w:val="en-US" w:eastAsia="zh-CN"/>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政府采购金额</w:t>
            </w:r>
          </w:p>
        </w:tc>
        <w:tc>
          <w:tcPr>
            <w:tcW w:w="2973"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437" w:hRule="exact"/>
          <w:jc w:val="center"/>
        </w:trPr>
        <w:tc>
          <w:tcPr>
            <w:tcW w:w="21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部门整体支出预算调整</w:t>
            </w:r>
          </w:p>
        </w:tc>
        <w:tc>
          <w:tcPr>
            <w:tcW w:w="2973" w:type="dxa"/>
            <w:gridSpan w:val="2"/>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1162" w:hRule="exact"/>
          <w:jc w:val="center"/>
        </w:trPr>
        <w:tc>
          <w:tcPr>
            <w:tcW w:w="2114"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98"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 xml:space="preserve">楼堂馆所控制情况 </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9</w:t>
            </w:r>
            <w:r>
              <w:rPr>
                <w:rFonts w:hint="eastAsia" w:ascii="宋体" w:hAnsi="宋体" w:eastAsia="宋体" w:cs="宋体"/>
                <w:color w:val="000000"/>
                <w:spacing w:val="0"/>
                <w:w w:val="100"/>
                <w:position w:val="0"/>
                <w:sz w:val="18"/>
                <w:szCs w:val="18"/>
              </w:rPr>
              <w:t>年完工项目）</w:t>
            </w:r>
          </w:p>
        </w:tc>
        <w:tc>
          <w:tcPr>
            <w:tcW w:w="1942"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 xml:space="preserve">批复 规模 </w:t>
            </w:r>
            <w:r>
              <w:rPr>
                <w:rFonts w:hint="eastAsia" w:ascii="宋体" w:hAnsi="宋体" w:eastAsia="宋体" w:cs="宋体"/>
                <w:color w:val="000000"/>
                <w:spacing w:val="0"/>
                <w:w w:val="100"/>
                <w:position w:val="0"/>
                <w:sz w:val="18"/>
                <w:szCs w:val="18"/>
                <w:lang w:val="en-US" w:eastAsia="en-US" w:bidi="en-US"/>
              </w:rPr>
              <w:t>（m</w:t>
            </w:r>
            <w:r>
              <w:rPr>
                <w:rFonts w:hint="eastAsia" w:ascii="宋体" w:hAnsi="宋体" w:eastAsia="宋体" w:cs="宋体"/>
                <w:color w:val="000000"/>
                <w:spacing w:val="0"/>
                <w:w w:val="100"/>
                <w:position w:val="0"/>
                <w:sz w:val="18"/>
                <w:szCs w:val="18"/>
                <w:vertAlign w:val="superscript"/>
                <w:lang w:val="en-US" w:eastAsia="en-US" w:bidi="en-US"/>
              </w:rPr>
              <w:t>1</w:t>
            </w:r>
            <w:r>
              <w:rPr>
                <w:rFonts w:hint="eastAsia" w:ascii="宋体" w:hAnsi="宋体" w:eastAsia="宋体" w:cs="宋体"/>
                <w:color w:val="000000"/>
                <w:spacing w:val="0"/>
                <w:w w:val="100"/>
                <w:position w:val="0"/>
                <w:sz w:val="18"/>
                <w:szCs w:val="18"/>
                <w:lang w:val="en-US" w:eastAsia="en-US" w:bidi="en-US"/>
              </w:rPr>
              <w:t>）</w:t>
            </w:r>
          </w:p>
        </w:tc>
        <w:tc>
          <w:tcPr>
            <w:tcW w:w="1031"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40" w:line="312" w:lineRule="exact"/>
              <w:ind w:left="220" w:right="0" w:firstLine="2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实际 规模</w:t>
            </w:r>
          </w:p>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（m</w:t>
            </w:r>
            <w:r>
              <w:rPr>
                <w:rFonts w:hint="eastAsia" w:ascii="宋体" w:hAnsi="宋体" w:eastAsia="宋体" w:cs="宋体"/>
                <w:color w:val="000000"/>
                <w:spacing w:val="0"/>
                <w:w w:val="100"/>
                <w:position w:val="0"/>
                <w:sz w:val="18"/>
                <w:szCs w:val="18"/>
                <w:vertAlign w:val="superscript"/>
                <w:lang w:val="en-US" w:eastAsia="en-US" w:bidi="en-US"/>
              </w:rPr>
              <w:t>2</w:t>
            </w:r>
            <w:r>
              <w:rPr>
                <w:rFonts w:hint="eastAsia" w:ascii="宋体" w:hAnsi="宋体" w:eastAsia="宋体" w:cs="宋体"/>
                <w:color w:val="000000"/>
                <w:spacing w:val="0"/>
                <w:w w:val="100"/>
                <w:position w:val="0"/>
                <w:sz w:val="18"/>
                <w:szCs w:val="18"/>
                <w:lang w:val="en-US" w:eastAsia="en-US" w:bidi="en-US"/>
              </w:rPr>
              <w:t>）</w:t>
            </w:r>
          </w:p>
        </w:tc>
        <w:tc>
          <w:tcPr>
            <w:tcW w:w="112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规模控制率</w:t>
            </w:r>
          </w:p>
        </w:tc>
        <w:tc>
          <w:tcPr>
            <w:tcW w:w="116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预算投资 （万元）</w:t>
            </w:r>
          </w:p>
        </w:tc>
        <w:tc>
          <w:tcPr>
            <w:tcW w:w="1013"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投资概 算控制 率</w:t>
            </w:r>
          </w:p>
        </w:tc>
      </w:tr>
      <w:tr>
        <w:tblPrEx>
          <w:tblCellMar>
            <w:top w:w="0" w:type="dxa"/>
            <w:left w:w="10" w:type="dxa"/>
            <w:bottom w:w="0" w:type="dxa"/>
            <w:right w:w="10" w:type="dxa"/>
          </w:tblCellMar>
        </w:tblPrEx>
        <w:trPr>
          <w:trHeight w:val="466" w:hRule="exact"/>
          <w:jc w:val="center"/>
        </w:trPr>
        <w:tc>
          <w:tcPr>
            <w:tcW w:w="2114"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1942"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1031"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1120"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116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1013"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18"/>
                <w:szCs w:val="18"/>
              </w:rPr>
            </w:pPr>
          </w:p>
        </w:tc>
        <w:tc>
          <w:tcPr>
            <w:tcW w:w="1051"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1480" w:hRule="exact"/>
          <w:jc w:val="center"/>
        </w:trPr>
        <w:tc>
          <w:tcPr>
            <w:tcW w:w="211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80" w:after="0" w:line="240" w:lineRule="auto"/>
              <w:ind w:right="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厉行节约保障措施</w:t>
            </w:r>
          </w:p>
        </w:tc>
        <w:tc>
          <w:tcPr>
            <w:tcW w:w="73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numPr>
                <w:ilvl w:val="0"/>
                <w:numId w:val="1"/>
              </w:numPr>
              <w:jc w:val="both"/>
              <w:rPr>
                <w:rFonts w:hint="eastAsia" w:ascii="宋体" w:hAnsi="宋体" w:cs="宋体"/>
                <w:sz w:val="18"/>
                <w:szCs w:val="18"/>
              </w:rPr>
            </w:pPr>
            <w:r>
              <w:rPr>
                <w:rFonts w:hint="eastAsia" w:ascii="宋体" w:hAnsi="宋体" w:cs="宋体"/>
                <w:sz w:val="18"/>
                <w:szCs w:val="18"/>
              </w:rPr>
              <w:t>倡导理性消费，杜绝公务招待浪费。</w:t>
            </w:r>
          </w:p>
          <w:p>
            <w:pPr>
              <w:widowControl w:val="0"/>
              <w:numPr>
                <w:ilvl w:val="0"/>
                <w:numId w:val="0"/>
              </w:numPr>
              <w:jc w:val="both"/>
              <w:rPr>
                <w:rFonts w:hint="eastAsia" w:ascii="宋体" w:hAnsi="宋体" w:eastAsia="宋体" w:cs="宋体"/>
                <w:sz w:val="18"/>
                <w:szCs w:val="18"/>
              </w:rPr>
            </w:pPr>
            <w:r>
              <w:rPr>
                <w:rFonts w:ascii="宋体" w:hAnsi="宋体" w:cs="宋体"/>
                <w:sz w:val="18"/>
                <w:szCs w:val="18"/>
              </w:rPr>
              <w:t>2</w:t>
            </w:r>
            <w:r>
              <w:rPr>
                <w:rFonts w:hint="eastAsia" w:ascii="宋体" w:hAnsi="宋体" w:cs="宋体"/>
                <w:sz w:val="18"/>
                <w:szCs w:val="18"/>
              </w:rPr>
              <w:t>、倡导简朴办文办会，杜绝日常办公及会务活动浪费；</w:t>
            </w:r>
          </w:p>
          <w:p>
            <w:pPr>
              <w:widowControl w:val="0"/>
              <w:numPr>
                <w:ilvl w:val="0"/>
                <w:numId w:val="0"/>
              </w:numPr>
              <w:jc w:val="both"/>
              <w:rPr>
                <w:rFonts w:hint="eastAsia" w:ascii="宋体" w:hAnsi="宋体" w:cs="宋体"/>
                <w:sz w:val="18"/>
                <w:szCs w:val="18"/>
              </w:rPr>
            </w:pPr>
            <w:r>
              <w:rPr>
                <w:rFonts w:ascii="宋体" w:hAnsi="宋体" w:cs="宋体"/>
                <w:sz w:val="18"/>
                <w:szCs w:val="18"/>
              </w:rPr>
              <w:t>3</w:t>
            </w:r>
            <w:r>
              <w:rPr>
                <w:rFonts w:hint="eastAsia" w:ascii="宋体" w:hAnsi="宋体" w:cs="宋体"/>
                <w:sz w:val="18"/>
                <w:szCs w:val="18"/>
              </w:rPr>
              <w:t>、倡导健康出行，杜绝交通浪费；</w:t>
            </w:r>
          </w:p>
          <w:p>
            <w:pPr>
              <w:widowControl w:val="0"/>
              <w:numPr>
                <w:ilvl w:val="0"/>
                <w:numId w:val="0"/>
              </w:numPr>
              <w:jc w:val="both"/>
              <w:rPr>
                <w:rFonts w:hint="eastAsia" w:ascii="宋体" w:hAnsi="宋体" w:eastAsia="宋体" w:cs="宋体"/>
                <w:sz w:val="18"/>
                <w:szCs w:val="18"/>
              </w:rPr>
            </w:pPr>
            <w:r>
              <w:rPr>
                <w:rFonts w:ascii="宋体" w:hAnsi="宋体" w:cs="宋体"/>
                <w:sz w:val="18"/>
                <w:szCs w:val="18"/>
              </w:rPr>
              <w:t>4</w:t>
            </w:r>
            <w:r>
              <w:rPr>
                <w:rFonts w:hint="eastAsia" w:ascii="宋体" w:hAnsi="宋体" w:cs="宋体"/>
                <w:sz w:val="18"/>
                <w:szCs w:val="18"/>
              </w:rPr>
              <w:t>、班子模范带头，杜绝个人生活浪费。</w:t>
            </w:r>
          </w:p>
        </w:tc>
      </w:tr>
    </w:tbl>
    <w:p>
      <w:pPr>
        <w:pStyle w:val="28"/>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pPr>
        <w:pStyle w:val="2"/>
        <w:rPr>
          <w:rFonts w:ascii="Times New Roman" w:hAnsi="Times New Roman" w:eastAsia="仿宋_GB2312"/>
          <w:sz w:val="24"/>
        </w:rPr>
      </w:pPr>
    </w:p>
    <w:p>
      <w:pPr>
        <w:pStyle w:val="2"/>
        <w:rPr>
          <w:rFonts w:ascii="Times New Roman" w:hAnsi="Times New Roman" w:eastAsia="仿宋_GB2312"/>
          <w:sz w:val="24"/>
        </w:rPr>
      </w:pPr>
    </w:p>
    <w:p>
      <w:pPr>
        <w:pStyle w:val="2"/>
        <w:rPr>
          <w:rFonts w:ascii="Times New Roman" w:hAnsi="Times New Roman" w:eastAsia="仿宋_GB2312"/>
          <w:sz w:val="24"/>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lang w:val="en-US" w:eastAsia="zh-CN"/>
        </w:rPr>
        <w:t>3</w:t>
      </w:r>
      <w:bookmarkStart w:id="5" w:name="_GoBack"/>
      <w:bookmarkEnd w:id="5"/>
      <w:r>
        <w:rPr>
          <w:rFonts w:ascii="Times New Roman" w:hAnsi="Times New Roman" w:eastAsia="仿宋_GB2312"/>
          <w:kern w:val="0"/>
          <w:sz w:val="32"/>
          <w:szCs w:val="32"/>
        </w:rPr>
        <w:t xml:space="preserve"> </w:t>
      </w:r>
    </w:p>
    <w:p>
      <w:pPr>
        <w:pStyle w:val="25"/>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10"/>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7"/>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ascii="宋体" w:hAnsi="宋体" w:cs="宋体"/>
                <w:sz w:val="18"/>
                <w:szCs w:val="18"/>
              </w:rPr>
              <w:t>8</w:t>
            </w: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 成率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 xml:space="preserve">扣 </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 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7"/>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ascii="宋体" w:hAnsi="宋体" w:cs="宋体"/>
                <w:sz w:val="18"/>
                <w:szCs w:val="18"/>
              </w:rPr>
              <w:t>5</w:t>
            </w: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7"/>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ascii="宋体" w:hAnsi="宋体" w:cs="宋体"/>
                <w:sz w:val="18"/>
                <w:szCs w:val="18"/>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10"/>
        <w:tblW w:w="9755" w:type="dxa"/>
        <w:jc w:val="center"/>
        <w:tblLayout w:type="fixed"/>
        <w:tblCellMar>
          <w:top w:w="0" w:type="dxa"/>
          <w:left w:w="10" w:type="dxa"/>
          <w:bottom w:w="0" w:type="dxa"/>
          <w:right w:w="10" w:type="dxa"/>
        </w:tblCellMar>
      </w:tblPr>
      <w:tblGrid>
        <w:gridCol w:w="367"/>
        <w:gridCol w:w="523"/>
        <w:gridCol w:w="459"/>
        <w:gridCol w:w="571"/>
        <w:gridCol w:w="914"/>
        <w:gridCol w:w="417"/>
        <w:gridCol w:w="3310"/>
        <w:gridCol w:w="2696"/>
        <w:gridCol w:w="498"/>
      </w:tblGrid>
      <w:tr>
        <w:tblPrEx>
          <w:tblCellMar>
            <w:top w:w="0" w:type="dxa"/>
            <w:left w:w="10" w:type="dxa"/>
            <w:bottom w:w="0" w:type="dxa"/>
            <w:right w:w="10" w:type="dxa"/>
          </w:tblCellMar>
        </w:tblPrEx>
        <w:trPr>
          <w:trHeight w:val="1350" w:hRule="exact"/>
          <w:jc w:val="center"/>
        </w:trPr>
        <w:tc>
          <w:tcPr>
            <w:tcW w:w="367"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3"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59"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1"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69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8" w:type="dxa"/>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758" w:hRule="exact"/>
          <w:jc w:val="center"/>
        </w:trPr>
        <w:tc>
          <w:tcPr>
            <w:tcW w:w="367"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3"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59"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7"/>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7"/>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7"/>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7"/>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7"/>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1"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696" w:type="dxa"/>
            <w:tcBorders>
              <w:top w:val="single" w:color="auto" w:sz="4" w:space="0"/>
              <w:left w:val="single" w:color="auto" w:sz="4" w:space="0"/>
            </w:tcBorders>
            <w:shd w:val="clear" w:color="auto" w:fill="FFFFFF"/>
            <w:vAlign w:val="top"/>
          </w:tcPr>
          <w:p>
            <w:pPr>
              <w:pStyle w:val="27"/>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7"/>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8"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89" w:hRule="exact"/>
          <w:jc w:val="center"/>
        </w:trPr>
        <w:tc>
          <w:tcPr>
            <w:tcW w:w="367"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59"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1"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69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8"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ascii="宋体" w:hAnsi="宋体" w:cs="宋体"/>
                <w:sz w:val="18"/>
                <w:szCs w:val="18"/>
              </w:rPr>
              <w:t>8</w:t>
            </w:r>
          </w:p>
        </w:tc>
      </w:tr>
      <w:tr>
        <w:tblPrEx>
          <w:tblCellMar>
            <w:top w:w="0" w:type="dxa"/>
            <w:left w:w="10" w:type="dxa"/>
            <w:bottom w:w="0" w:type="dxa"/>
            <w:right w:w="10" w:type="dxa"/>
          </w:tblCellMar>
        </w:tblPrEx>
        <w:trPr>
          <w:trHeight w:val="1068" w:hRule="exact"/>
          <w:jc w:val="center"/>
        </w:trPr>
        <w:tc>
          <w:tcPr>
            <w:tcW w:w="367"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59"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1"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4"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696"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8"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903" w:hRule="exact"/>
          <w:jc w:val="center"/>
        </w:trPr>
        <w:tc>
          <w:tcPr>
            <w:tcW w:w="367"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59" w:type="dxa"/>
            <w:vMerge w:val="continue"/>
            <w:tcBorders>
              <w:left w:val="single" w:color="auto" w:sz="4" w:space="0"/>
            </w:tcBorders>
            <w:shd w:val="clear" w:color="auto" w:fill="FFFFFF"/>
            <w:vAlign w:val="center"/>
          </w:tcPr>
          <w:p>
            <w:pPr>
              <w:pStyle w:val="27"/>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1"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both"/>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27"/>
              <w:keepNext w:val="0"/>
              <w:keepLines w:val="0"/>
              <w:widowControl w:val="0"/>
              <w:shd w:val="clear" w:color="auto" w:fill="auto"/>
              <w:bidi w:val="0"/>
              <w:spacing w:before="0" w:after="0" w:line="307" w:lineRule="exact"/>
              <w:ind w:left="0" w:right="0" w:firstLine="0"/>
              <w:jc w:val="both"/>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7"/>
              <w:keepNext w:val="0"/>
              <w:keepLines w:val="0"/>
              <w:widowControl w:val="0"/>
              <w:shd w:val="clear" w:color="auto" w:fill="auto"/>
              <w:bidi w:val="0"/>
              <w:spacing w:before="0" w:after="0" w:line="307" w:lineRule="exact"/>
              <w:ind w:left="0" w:right="0" w:firstLine="0"/>
              <w:jc w:val="both"/>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696" w:type="dxa"/>
            <w:tcBorders>
              <w:top w:val="single" w:color="auto" w:sz="4" w:space="0"/>
              <w:left w:val="single" w:color="auto" w:sz="4" w:space="0"/>
            </w:tcBorders>
            <w:shd w:val="clear" w:color="auto" w:fill="FFFFFF"/>
            <w:vAlign w:val="center"/>
          </w:tcPr>
          <w:p>
            <w:pPr>
              <w:widowControl w:val="0"/>
              <w:jc w:val="both"/>
              <w:rPr>
                <w:rFonts w:hint="eastAsia" w:ascii="宋体" w:hAnsi="宋体" w:eastAsia="宋体" w:cs="宋体"/>
                <w:sz w:val="18"/>
                <w:szCs w:val="18"/>
              </w:rPr>
            </w:pPr>
          </w:p>
        </w:tc>
        <w:tc>
          <w:tcPr>
            <w:tcW w:w="498" w:type="dxa"/>
            <w:tcBorders>
              <w:top w:val="single" w:color="auto" w:sz="4" w:space="0"/>
              <w:left w:val="single" w:color="auto" w:sz="4" w:space="0"/>
              <w:right w:val="single" w:color="auto" w:sz="4" w:space="0"/>
            </w:tcBorders>
            <w:shd w:val="clear" w:color="auto" w:fill="FFFFFF"/>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169" w:hRule="exact"/>
          <w:jc w:val="center"/>
        </w:trPr>
        <w:tc>
          <w:tcPr>
            <w:tcW w:w="367"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5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1"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7"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0" w:type="dxa"/>
            <w:tcBorders>
              <w:top w:val="single" w:color="auto" w:sz="4" w:space="0"/>
              <w:left w:val="single" w:color="auto" w:sz="4" w:space="0"/>
            </w:tcBorders>
            <w:shd w:val="clear" w:color="auto" w:fill="FFFFFF"/>
            <w:vAlign w:val="center"/>
          </w:tcPr>
          <w:p>
            <w:pPr>
              <w:pStyle w:val="27"/>
              <w:keepNext w:val="0"/>
              <w:keepLines w:val="0"/>
              <w:widowControl w:val="0"/>
              <w:numPr>
                <w:ilvl w:val="0"/>
                <w:numId w:val="0"/>
              </w:numPr>
              <w:shd w:val="clear" w:color="auto" w:fill="auto"/>
              <w:tabs>
                <w:tab w:val="left" w:pos="211"/>
              </w:tabs>
              <w:bidi w:val="0"/>
              <w:spacing w:before="0" w:after="0" w:line="313" w:lineRule="exact"/>
              <w:ind w:leftChars="0" w:right="0" w:rightChars="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7"/>
              <w:keepNext w:val="0"/>
              <w:keepLines w:val="0"/>
              <w:widowControl w:val="0"/>
              <w:numPr>
                <w:ilvl w:val="0"/>
                <w:numId w:val="0"/>
              </w:numPr>
              <w:shd w:val="clear" w:color="auto" w:fill="auto"/>
              <w:tabs>
                <w:tab w:val="left" w:pos="221"/>
              </w:tabs>
              <w:bidi w:val="0"/>
              <w:spacing w:before="0" w:after="0" w:line="313" w:lineRule="exact"/>
              <w:ind w:leftChars="0" w:right="0" w:rightChars="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7"/>
              <w:keepNext w:val="0"/>
              <w:keepLines w:val="0"/>
              <w:widowControl w:val="0"/>
              <w:numPr>
                <w:ilvl w:val="0"/>
                <w:numId w:val="0"/>
              </w:numPr>
              <w:shd w:val="clear" w:color="auto" w:fill="auto"/>
              <w:tabs>
                <w:tab w:val="left" w:pos="221"/>
              </w:tabs>
              <w:bidi w:val="0"/>
              <w:spacing w:before="0" w:after="0" w:line="313" w:lineRule="exact"/>
              <w:ind w:leftChars="0" w:right="0" w:rightChars="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7"/>
              <w:keepNext w:val="0"/>
              <w:keepLines w:val="0"/>
              <w:widowControl w:val="0"/>
              <w:numPr>
                <w:ilvl w:val="0"/>
                <w:numId w:val="0"/>
              </w:numPr>
              <w:shd w:val="clear" w:color="auto" w:fill="auto"/>
              <w:tabs>
                <w:tab w:val="left" w:pos="221"/>
              </w:tabs>
              <w:bidi w:val="0"/>
              <w:spacing w:before="0" w:after="0" w:line="313" w:lineRule="exact"/>
              <w:ind w:leftChars="0" w:right="0" w:rightChars="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7"/>
              <w:keepNext w:val="0"/>
              <w:keepLines w:val="0"/>
              <w:widowControl w:val="0"/>
              <w:numPr>
                <w:ilvl w:val="0"/>
                <w:numId w:val="0"/>
              </w:numPr>
              <w:shd w:val="clear" w:color="auto" w:fill="auto"/>
              <w:tabs>
                <w:tab w:val="left" w:pos="221"/>
              </w:tabs>
              <w:bidi w:val="0"/>
              <w:spacing w:before="0" w:after="0" w:line="313" w:lineRule="exact"/>
              <w:ind w:leftChars="0" w:right="0" w:rightChars="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7"/>
              <w:keepNext w:val="0"/>
              <w:keepLines w:val="0"/>
              <w:widowControl w:val="0"/>
              <w:shd w:val="clear" w:color="auto" w:fill="auto"/>
              <w:bidi w:val="0"/>
              <w:spacing w:before="0" w:after="0" w:line="313"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696" w:type="dxa"/>
            <w:tcBorders>
              <w:top w:val="single" w:color="auto" w:sz="4" w:space="0"/>
              <w:left w:val="single" w:color="auto" w:sz="4" w:space="0"/>
            </w:tcBorders>
            <w:shd w:val="clear" w:color="auto" w:fill="FFFFFF"/>
            <w:vAlign w:val="center"/>
          </w:tcPr>
          <w:p>
            <w:pPr>
              <w:widowControl w:val="0"/>
              <w:jc w:val="both"/>
              <w:rPr>
                <w:rFonts w:hint="eastAsia" w:ascii="宋体" w:hAnsi="宋体" w:eastAsia="宋体" w:cs="宋体"/>
                <w:sz w:val="18"/>
                <w:szCs w:val="18"/>
              </w:rPr>
            </w:pPr>
          </w:p>
        </w:tc>
        <w:tc>
          <w:tcPr>
            <w:tcW w:w="498"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694" w:hRule="exact"/>
          <w:jc w:val="center"/>
        </w:trPr>
        <w:tc>
          <w:tcPr>
            <w:tcW w:w="367"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3"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59"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1"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7"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0" w:type="dxa"/>
            <w:tcBorders>
              <w:top w:val="single" w:color="auto" w:sz="4" w:space="0"/>
              <w:left w:val="single" w:color="auto" w:sz="4" w:space="0"/>
              <w:bottom w:val="single" w:color="auto" w:sz="4" w:space="0"/>
            </w:tcBorders>
            <w:shd w:val="clear" w:color="auto" w:fill="FFFFFF"/>
            <w:vAlign w:val="top"/>
          </w:tcPr>
          <w:p>
            <w:pPr>
              <w:pStyle w:val="27"/>
              <w:keepNext w:val="0"/>
              <w:keepLines w:val="0"/>
              <w:widowControl w:val="0"/>
              <w:numPr>
                <w:ilvl w:val="0"/>
                <w:numId w:val="2"/>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7"/>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7"/>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7"/>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7"/>
              <w:keepNext w:val="0"/>
              <w:keepLines w:val="0"/>
              <w:widowControl w:val="0"/>
              <w:numPr>
                <w:ilvl w:val="0"/>
                <w:numId w:val="2"/>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696"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 关的信息。</w:t>
            </w:r>
          </w:p>
        </w:tc>
        <w:tc>
          <w:tcPr>
            <w:tcW w:w="4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10"/>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vAlign w:val="bottom"/>
          </w:tcPr>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7"/>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27"/>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 强经费及资产管理，推动网 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7"/>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 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7"/>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317"/>
        <w:jc w:val="left"/>
        <w:textAlignment w:val="auto"/>
        <w:rPr>
          <w:rFonts w:ascii="Times New Roman" w:hAnsi="Times New Roman" w:eastAsia="仿宋_GB2312"/>
          <w:sz w:val="24"/>
        </w:rPr>
      </w:pPr>
      <w:r>
        <w:rPr>
          <w:rFonts w:hint="eastAsia" w:ascii="Times New Roman" w:hAnsi="Times New Roman" w:eastAsia="仿宋" w:cs="Times New Roman"/>
          <w:color w:val="000000"/>
          <w:spacing w:val="0"/>
          <w:w w:val="100"/>
          <w:position w:val="0"/>
          <w:sz w:val="32"/>
          <w:szCs w:val="32"/>
          <w:lang w:val="en-US" w:eastAsia="zh-CN" w:bidi="zh-CN"/>
        </w:rPr>
        <w:t>总计95分</w:t>
      </w:r>
    </w:p>
    <w:sectPr>
      <w:footerReference r:id="rId3" w:type="default"/>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- 10 -</w:t>
    </w:r>
    <w:r>
      <w:rPr>
        <w:rStyle w:val="12"/>
        <w:rFonts w:ascii="Times New Roman" w:hAnsi="Times New Roman"/>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5CCE4E80"/>
    <w:multiLevelType w:val="singleLevel"/>
    <w:tmpl w:val="5CCE4E8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jFmNDYwNjBkNzk0YTEzZGMwMDUwMDAzZWQxYzk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3712F7"/>
    <w:rsid w:val="014F4893"/>
    <w:rsid w:val="01645018"/>
    <w:rsid w:val="016F45ED"/>
    <w:rsid w:val="01722330"/>
    <w:rsid w:val="019C2884"/>
    <w:rsid w:val="01C52716"/>
    <w:rsid w:val="01C70EF6"/>
    <w:rsid w:val="01E13A16"/>
    <w:rsid w:val="021D1456"/>
    <w:rsid w:val="026B1259"/>
    <w:rsid w:val="028D58A7"/>
    <w:rsid w:val="02B40E52"/>
    <w:rsid w:val="02C46BBB"/>
    <w:rsid w:val="03011BBD"/>
    <w:rsid w:val="03043E77"/>
    <w:rsid w:val="035E2B6B"/>
    <w:rsid w:val="03A7507A"/>
    <w:rsid w:val="03BE760E"/>
    <w:rsid w:val="03C344B4"/>
    <w:rsid w:val="03CD7E32"/>
    <w:rsid w:val="03D85DCB"/>
    <w:rsid w:val="03E2554B"/>
    <w:rsid w:val="04137DFA"/>
    <w:rsid w:val="049F3F29"/>
    <w:rsid w:val="04B50EB1"/>
    <w:rsid w:val="04BF2D5A"/>
    <w:rsid w:val="04CD61FB"/>
    <w:rsid w:val="05184F9C"/>
    <w:rsid w:val="054B2F85"/>
    <w:rsid w:val="057929BF"/>
    <w:rsid w:val="05816226"/>
    <w:rsid w:val="05C97E3D"/>
    <w:rsid w:val="06167341"/>
    <w:rsid w:val="06210E27"/>
    <w:rsid w:val="064249C6"/>
    <w:rsid w:val="065F267A"/>
    <w:rsid w:val="06A15617"/>
    <w:rsid w:val="06A20E71"/>
    <w:rsid w:val="06A67EA4"/>
    <w:rsid w:val="06C22BB3"/>
    <w:rsid w:val="07BA6D83"/>
    <w:rsid w:val="07CA4C73"/>
    <w:rsid w:val="07D433FC"/>
    <w:rsid w:val="0829798C"/>
    <w:rsid w:val="0842185D"/>
    <w:rsid w:val="084762C4"/>
    <w:rsid w:val="085A5FF7"/>
    <w:rsid w:val="087D62E7"/>
    <w:rsid w:val="088D04DA"/>
    <w:rsid w:val="08CB2A51"/>
    <w:rsid w:val="08D833C0"/>
    <w:rsid w:val="08E81855"/>
    <w:rsid w:val="095011A8"/>
    <w:rsid w:val="09736C45"/>
    <w:rsid w:val="09825493"/>
    <w:rsid w:val="09E71B0D"/>
    <w:rsid w:val="0A171CC6"/>
    <w:rsid w:val="0A785770"/>
    <w:rsid w:val="0A9B46A5"/>
    <w:rsid w:val="0AA413E9"/>
    <w:rsid w:val="0AF53DB5"/>
    <w:rsid w:val="0AF6191D"/>
    <w:rsid w:val="0B167213"/>
    <w:rsid w:val="0B2661F3"/>
    <w:rsid w:val="0B5220A3"/>
    <w:rsid w:val="0B6A614B"/>
    <w:rsid w:val="0B8B7304"/>
    <w:rsid w:val="0B8D2240"/>
    <w:rsid w:val="0B9F3D21"/>
    <w:rsid w:val="0BBC0D77"/>
    <w:rsid w:val="0C0D3381"/>
    <w:rsid w:val="0C7E7DDA"/>
    <w:rsid w:val="0C85003E"/>
    <w:rsid w:val="0C873844"/>
    <w:rsid w:val="0CA47F45"/>
    <w:rsid w:val="0CAD246E"/>
    <w:rsid w:val="0CFA2443"/>
    <w:rsid w:val="0D2E1164"/>
    <w:rsid w:val="0D3F756A"/>
    <w:rsid w:val="0D4A1522"/>
    <w:rsid w:val="0D7162B4"/>
    <w:rsid w:val="0DA470FA"/>
    <w:rsid w:val="0DCD0160"/>
    <w:rsid w:val="0DEE2D3E"/>
    <w:rsid w:val="0E122ED0"/>
    <w:rsid w:val="0E1A3B33"/>
    <w:rsid w:val="0E1D38E9"/>
    <w:rsid w:val="0E2556EE"/>
    <w:rsid w:val="0E303356"/>
    <w:rsid w:val="0E3E501E"/>
    <w:rsid w:val="0E695530"/>
    <w:rsid w:val="0E8536A2"/>
    <w:rsid w:val="0E977B78"/>
    <w:rsid w:val="0EB84AF6"/>
    <w:rsid w:val="0EBF70A2"/>
    <w:rsid w:val="0F214DCB"/>
    <w:rsid w:val="0F262ACD"/>
    <w:rsid w:val="0F3C6302"/>
    <w:rsid w:val="0F65747A"/>
    <w:rsid w:val="0FB27D40"/>
    <w:rsid w:val="0FC97F67"/>
    <w:rsid w:val="10511AEA"/>
    <w:rsid w:val="10641F50"/>
    <w:rsid w:val="106C301C"/>
    <w:rsid w:val="1090632E"/>
    <w:rsid w:val="1115649A"/>
    <w:rsid w:val="11254CC9"/>
    <w:rsid w:val="114448CA"/>
    <w:rsid w:val="11447845"/>
    <w:rsid w:val="115F7721"/>
    <w:rsid w:val="11AC3268"/>
    <w:rsid w:val="11BE2EFD"/>
    <w:rsid w:val="120606BD"/>
    <w:rsid w:val="123E2AB8"/>
    <w:rsid w:val="123F3EB0"/>
    <w:rsid w:val="12415B32"/>
    <w:rsid w:val="126D2BDA"/>
    <w:rsid w:val="12DA1AE3"/>
    <w:rsid w:val="12E143B9"/>
    <w:rsid w:val="12EB3CF0"/>
    <w:rsid w:val="12EC1F42"/>
    <w:rsid w:val="12FE1C75"/>
    <w:rsid w:val="13261734"/>
    <w:rsid w:val="13400886"/>
    <w:rsid w:val="135E1FEF"/>
    <w:rsid w:val="13D24F86"/>
    <w:rsid w:val="141F1EA3"/>
    <w:rsid w:val="142613B8"/>
    <w:rsid w:val="14321BD6"/>
    <w:rsid w:val="145E5777"/>
    <w:rsid w:val="147F6DE6"/>
    <w:rsid w:val="14AA20B4"/>
    <w:rsid w:val="14E804E7"/>
    <w:rsid w:val="153876C0"/>
    <w:rsid w:val="154F2A9A"/>
    <w:rsid w:val="15C978A6"/>
    <w:rsid w:val="15DA6FC6"/>
    <w:rsid w:val="167D24FA"/>
    <w:rsid w:val="16914368"/>
    <w:rsid w:val="16A448E1"/>
    <w:rsid w:val="16BC60CF"/>
    <w:rsid w:val="17141A67"/>
    <w:rsid w:val="173A4E17"/>
    <w:rsid w:val="174F0CF1"/>
    <w:rsid w:val="176977F0"/>
    <w:rsid w:val="17784B61"/>
    <w:rsid w:val="178C5AA1"/>
    <w:rsid w:val="17C80055"/>
    <w:rsid w:val="17F51899"/>
    <w:rsid w:val="17F67F0F"/>
    <w:rsid w:val="18047D2E"/>
    <w:rsid w:val="180C6BE2"/>
    <w:rsid w:val="18721A6F"/>
    <w:rsid w:val="18934E7A"/>
    <w:rsid w:val="18B81F8A"/>
    <w:rsid w:val="191A1955"/>
    <w:rsid w:val="191D1A17"/>
    <w:rsid w:val="19D14B78"/>
    <w:rsid w:val="19DA170E"/>
    <w:rsid w:val="19FD2C86"/>
    <w:rsid w:val="1A3B730B"/>
    <w:rsid w:val="1A4408B5"/>
    <w:rsid w:val="1B9118D8"/>
    <w:rsid w:val="1B973FCA"/>
    <w:rsid w:val="1BB661EF"/>
    <w:rsid w:val="1C3E47DB"/>
    <w:rsid w:val="1C6D20FE"/>
    <w:rsid w:val="1C784846"/>
    <w:rsid w:val="1CCC06EE"/>
    <w:rsid w:val="1D585C7B"/>
    <w:rsid w:val="1DF24184"/>
    <w:rsid w:val="1E2C7696"/>
    <w:rsid w:val="1E767DE7"/>
    <w:rsid w:val="1E8066E5"/>
    <w:rsid w:val="1EBC0EA6"/>
    <w:rsid w:val="1EDF0BAD"/>
    <w:rsid w:val="1EED4013"/>
    <w:rsid w:val="1F134049"/>
    <w:rsid w:val="1FDE7F6F"/>
    <w:rsid w:val="201E6FC3"/>
    <w:rsid w:val="20370574"/>
    <w:rsid w:val="2059673D"/>
    <w:rsid w:val="206053DD"/>
    <w:rsid w:val="209A3718"/>
    <w:rsid w:val="209C3810"/>
    <w:rsid w:val="20AF1FB5"/>
    <w:rsid w:val="20DA0690"/>
    <w:rsid w:val="20EA3839"/>
    <w:rsid w:val="20F74A00"/>
    <w:rsid w:val="211A5ECC"/>
    <w:rsid w:val="21374749"/>
    <w:rsid w:val="213827F6"/>
    <w:rsid w:val="217D46AD"/>
    <w:rsid w:val="21885B83"/>
    <w:rsid w:val="218B501C"/>
    <w:rsid w:val="21D93C6F"/>
    <w:rsid w:val="21FE5CD7"/>
    <w:rsid w:val="220C08D0"/>
    <w:rsid w:val="2218770D"/>
    <w:rsid w:val="22692F48"/>
    <w:rsid w:val="22E31441"/>
    <w:rsid w:val="230B6DA2"/>
    <w:rsid w:val="231C32E1"/>
    <w:rsid w:val="234B4D59"/>
    <w:rsid w:val="23534458"/>
    <w:rsid w:val="23645B24"/>
    <w:rsid w:val="236E735E"/>
    <w:rsid w:val="23BC3B44"/>
    <w:rsid w:val="23BE4FD8"/>
    <w:rsid w:val="2438774A"/>
    <w:rsid w:val="2463402E"/>
    <w:rsid w:val="24E76A0D"/>
    <w:rsid w:val="25506360"/>
    <w:rsid w:val="26001D5A"/>
    <w:rsid w:val="263A2B6C"/>
    <w:rsid w:val="26BE379D"/>
    <w:rsid w:val="26C71E54"/>
    <w:rsid w:val="26E56F7C"/>
    <w:rsid w:val="27065ABE"/>
    <w:rsid w:val="27397336"/>
    <w:rsid w:val="274243CE"/>
    <w:rsid w:val="27612C3E"/>
    <w:rsid w:val="27AB3D22"/>
    <w:rsid w:val="27BB1A8B"/>
    <w:rsid w:val="27BC7018"/>
    <w:rsid w:val="27EE767B"/>
    <w:rsid w:val="281B7DE6"/>
    <w:rsid w:val="285E7133"/>
    <w:rsid w:val="287C29F4"/>
    <w:rsid w:val="288523D1"/>
    <w:rsid w:val="28950AF6"/>
    <w:rsid w:val="289F315B"/>
    <w:rsid w:val="28C055AB"/>
    <w:rsid w:val="28CD0E1E"/>
    <w:rsid w:val="28CF3A40"/>
    <w:rsid w:val="28D9056E"/>
    <w:rsid w:val="28EA399D"/>
    <w:rsid w:val="292A1D28"/>
    <w:rsid w:val="295D1A3C"/>
    <w:rsid w:val="29656152"/>
    <w:rsid w:val="297B3247"/>
    <w:rsid w:val="297E0FC2"/>
    <w:rsid w:val="29A41545"/>
    <w:rsid w:val="29CB773A"/>
    <w:rsid w:val="2A7B1A76"/>
    <w:rsid w:val="2A971711"/>
    <w:rsid w:val="2A9C3DF6"/>
    <w:rsid w:val="2ACE4A20"/>
    <w:rsid w:val="2B176B57"/>
    <w:rsid w:val="2B3B0DBE"/>
    <w:rsid w:val="2B4C581C"/>
    <w:rsid w:val="2B9D6077"/>
    <w:rsid w:val="2BF150B0"/>
    <w:rsid w:val="2BF35EF6"/>
    <w:rsid w:val="2C2B2A0E"/>
    <w:rsid w:val="2C5A3D11"/>
    <w:rsid w:val="2C672F56"/>
    <w:rsid w:val="2CA61530"/>
    <w:rsid w:val="2CD823E1"/>
    <w:rsid w:val="2D991BDD"/>
    <w:rsid w:val="2DCB3979"/>
    <w:rsid w:val="2E144F27"/>
    <w:rsid w:val="2E1B3283"/>
    <w:rsid w:val="2E2D03B1"/>
    <w:rsid w:val="2E332D3A"/>
    <w:rsid w:val="2E660FDE"/>
    <w:rsid w:val="2E7166C9"/>
    <w:rsid w:val="2E7B1445"/>
    <w:rsid w:val="2EAE2349"/>
    <w:rsid w:val="2ED33B5E"/>
    <w:rsid w:val="2F19172E"/>
    <w:rsid w:val="2F454A5C"/>
    <w:rsid w:val="2F493FF4"/>
    <w:rsid w:val="2FBE53A2"/>
    <w:rsid w:val="30050C0E"/>
    <w:rsid w:val="303E1ECD"/>
    <w:rsid w:val="30B17ECF"/>
    <w:rsid w:val="314174A5"/>
    <w:rsid w:val="31575339"/>
    <w:rsid w:val="31625295"/>
    <w:rsid w:val="31E3230A"/>
    <w:rsid w:val="31FC59F9"/>
    <w:rsid w:val="31FD4F04"/>
    <w:rsid w:val="32364B30"/>
    <w:rsid w:val="324F2FA0"/>
    <w:rsid w:val="32786EF6"/>
    <w:rsid w:val="32807B59"/>
    <w:rsid w:val="32877139"/>
    <w:rsid w:val="32B44807"/>
    <w:rsid w:val="33A40DC1"/>
    <w:rsid w:val="33A945BC"/>
    <w:rsid w:val="33FD073B"/>
    <w:rsid w:val="34164C19"/>
    <w:rsid w:val="34255DE2"/>
    <w:rsid w:val="34FF53B2"/>
    <w:rsid w:val="34FF745B"/>
    <w:rsid w:val="3558052B"/>
    <w:rsid w:val="35611EC4"/>
    <w:rsid w:val="35700877"/>
    <w:rsid w:val="35B46EDE"/>
    <w:rsid w:val="35B656F3"/>
    <w:rsid w:val="35D05A62"/>
    <w:rsid w:val="36034D29"/>
    <w:rsid w:val="360939BC"/>
    <w:rsid w:val="36195A35"/>
    <w:rsid w:val="36653C36"/>
    <w:rsid w:val="370276D6"/>
    <w:rsid w:val="37337890"/>
    <w:rsid w:val="377161C7"/>
    <w:rsid w:val="37CA0EB6"/>
    <w:rsid w:val="384F24A7"/>
    <w:rsid w:val="386D0B7F"/>
    <w:rsid w:val="38DD08FE"/>
    <w:rsid w:val="38EC7806"/>
    <w:rsid w:val="390A1671"/>
    <w:rsid w:val="3942200C"/>
    <w:rsid w:val="394E3863"/>
    <w:rsid w:val="397321C6"/>
    <w:rsid w:val="398B5761"/>
    <w:rsid w:val="39B67490"/>
    <w:rsid w:val="39DD7F23"/>
    <w:rsid w:val="39E76710"/>
    <w:rsid w:val="3A43428E"/>
    <w:rsid w:val="3A6F0BDF"/>
    <w:rsid w:val="3A964AA0"/>
    <w:rsid w:val="3AEE769F"/>
    <w:rsid w:val="3B20012B"/>
    <w:rsid w:val="3B352FF6"/>
    <w:rsid w:val="3B450469"/>
    <w:rsid w:val="3B694A1D"/>
    <w:rsid w:val="3BD50F16"/>
    <w:rsid w:val="3C2B322B"/>
    <w:rsid w:val="3C333DD7"/>
    <w:rsid w:val="3C423D71"/>
    <w:rsid w:val="3C5B366D"/>
    <w:rsid w:val="3C6669A0"/>
    <w:rsid w:val="3C904DB6"/>
    <w:rsid w:val="3D066FD7"/>
    <w:rsid w:val="3D190701"/>
    <w:rsid w:val="3DF8713D"/>
    <w:rsid w:val="3E1D6FEE"/>
    <w:rsid w:val="3E474B17"/>
    <w:rsid w:val="3E537A45"/>
    <w:rsid w:val="3E740E90"/>
    <w:rsid w:val="3E886713"/>
    <w:rsid w:val="3EF54CB0"/>
    <w:rsid w:val="3F021A95"/>
    <w:rsid w:val="3F512FA9"/>
    <w:rsid w:val="3F516B05"/>
    <w:rsid w:val="3F52287D"/>
    <w:rsid w:val="3F5E5DD9"/>
    <w:rsid w:val="3FC47F35"/>
    <w:rsid w:val="40721429"/>
    <w:rsid w:val="409C0254"/>
    <w:rsid w:val="40B04576"/>
    <w:rsid w:val="41013A16"/>
    <w:rsid w:val="41391F47"/>
    <w:rsid w:val="416B7C26"/>
    <w:rsid w:val="41795125"/>
    <w:rsid w:val="41C61B6B"/>
    <w:rsid w:val="41FF0A9A"/>
    <w:rsid w:val="42176292"/>
    <w:rsid w:val="422F6EA6"/>
    <w:rsid w:val="42334E4B"/>
    <w:rsid w:val="42462B6D"/>
    <w:rsid w:val="425B7C9B"/>
    <w:rsid w:val="427C00FD"/>
    <w:rsid w:val="427F44AC"/>
    <w:rsid w:val="42A81083"/>
    <w:rsid w:val="42C13A57"/>
    <w:rsid w:val="43931DE2"/>
    <w:rsid w:val="439711A6"/>
    <w:rsid w:val="43B655E7"/>
    <w:rsid w:val="4413082D"/>
    <w:rsid w:val="4418721F"/>
    <w:rsid w:val="441D3743"/>
    <w:rsid w:val="44A75419"/>
    <w:rsid w:val="44B13E50"/>
    <w:rsid w:val="44B55D88"/>
    <w:rsid w:val="44C03401"/>
    <w:rsid w:val="44C049B9"/>
    <w:rsid w:val="44E07B96"/>
    <w:rsid w:val="44F473AA"/>
    <w:rsid w:val="453A29FD"/>
    <w:rsid w:val="4552724E"/>
    <w:rsid w:val="457C0654"/>
    <w:rsid w:val="45815C6A"/>
    <w:rsid w:val="45AA0617"/>
    <w:rsid w:val="45EA1A61"/>
    <w:rsid w:val="45F8417E"/>
    <w:rsid w:val="45FC21C4"/>
    <w:rsid w:val="46195EA3"/>
    <w:rsid w:val="462A00B0"/>
    <w:rsid w:val="46F41985"/>
    <w:rsid w:val="47490A0A"/>
    <w:rsid w:val="47C6205A"/>
    <w:rsid w:val="48A26623"/>
    <w:rsid w:val="48D4289A"/>
    <w:rsid w:val="4A657908"/>
    <w:rsid w:val="4B34241F"/>
    <w:rsid w:val="4B591AB5"/>
    <w:rsid w:val="4B613445"/>
    <w:rsid w:val="4B816125"/>
    <w:rsid w:val="4BD034A7"/>
    <w:rsid w:val="4CA76D91"/>
    <w:rsid w:val="4CA77B53"/>
    <w:rsid w:val="4CB608EF"/>
    <w:rsid w:val="4CC63EBE"/>
    <w:rsid w:val="4CC72AFC"/>
    <w:rsid w:val="4CEC4311"/>
    <w:rsid w:val="4D063625"/>
    <w:rsid w:val="4D4B54DB"/>
    <w:rsid w:val="4DD427BB"/>
    <w:rsid w:val="4E3E0B9C"/>
    <w:rsid w:val="4E410EC2"/>
    <w:rsid w:val="4E920EE8"/>
    <w:rsid w:val="4F701243"/>
    <w:rsid w:val="4FA113E3"/>
    <w:rsid w:val="4FA35CE3"/>
    <w:rsid w:val="501F49FD"/>
    <w:rsid w:val="50BE4216"/>
    <w:rsid w:val="51B353FD"/>
    <w:rsid w:val="51C1249E"/>
    <w:rsid w:val="51DC4954"/>
    <w:rsid w:val="522E7C0E"/>
    <w:rsid w:val="525941F7"/>
    <w:rsid w:val="52765707"/>
    <w:rsid w:val="528154FB"/>
    <w:rsid w:val="528E4E72"/>
    <w:rsid w:val="53694883"/>
    <w:rsid w:val="536C7F5A"/>
    <w:rsid w:val="53734A39"/>
    <w:rsid w:val="53D4756D"/>
    <w:rsid w:val="53DD0E57"/>
    <w:rsid w:val="54111A16"/>
    <w:rsid w:val="54A23856"/>
    <w:rsid w:val="54D24E86"/>
    <w:rsid w:val="55000256"/>
    <w:rsid w:val="550A7A2A"/>
    <w:rsid w:val="556E1BAD"/>
    <w:rsid w:val="5612303A"/>
    <w:rsid w:val="5632156B"/>
    <w:rsid w:val="56A143BE"/>
    <w:rsid w:val="56BE1182"/>
    <w:rsid w:val="56C37E91"/>
    <w:rsid w:val="56F04DA2"/>
    <w:rsid w:val="57120E18"/>
    <w:rsid w:val="5726041F"/>
    <w:rsid w:val="5730129E"/>
    <w:rsid w:val="575D756A"/>
    <w:rsid w:val="57672F12"/>
    <w:rsid w:val="57EE3633"/>
    <w:rsid w:val="581301A8"/>
    <w:rsid w:val="584F5110"/>
    <w:rsid w:val="58B1226E"/>
    <w:rsid w:val="58C223B5"/>
    <w:rsid w:val="58E10AA2"/>
    <w:rsid w:val="58ED5699"/>
    <w:rsid w:val="59843637"/>
    <w:rsid w:val="59B11E80"/>
    <w:rsid w:val="59FE267A"/>
    <w:rsid w:val="5A0226CB"/>
    <w:rsid w:val="5A3E3CD2"/>
    <w:rsid w:val="5A6367FA"/>
    <w:rsid w:val="5A805574"/>
    <w:rsid w:val="5A9C5DB6"/>
    <w:rsid w:val="5ABC5197"/>
    <w:rsid w:val="5AEE74A6"/>
    <w:rsid w:val="5B066255"/>
    <w:rsid w:val="5B525C87"/>
    <w:rsid w:val="5B6E7445"/>
    <w:rsid w:val="5B800A46"/>
    <w:rsid w:val="5BAA38C3"/>
    <w:rsid w:val="5BD10654"/>
    <w:rsid w:val="5C1620DB"/>
    <w:rsid w:val="5C2F64BB"/>
    <w:rsid w:val="5C5A462C"/>
    <w:rsid w:val="5C7834CB"/>
    <w:rsid w:val="5C7B28D9"/>
    <w:rsid w:val="5CCB5CF1"/>
    <w:rsid w:val="5CCC1E46"/>
    <w:rsid w:val="5D414D8F"/>
    <w:rsid w:val="5D4E247E"/>
    <w:rsid w:val="5D6F0D72"/>
    <w:rsid w:val="5DF179D9"/>
    <w:rsid w:val="5E5744F7"/>
    <w:rsid w:val="5F19363B"/>
    <w:rsid w:val="5F37766E"/>
    <w:rsid w:val="5F71471F"/>
    <w:rsid w:val="60031C46"/>
    <w:rsid w:val="602358E4"/>
    <w:rsid w:val="60566219"/>
    <w:rsid w:val="605A2876"/>
    <w:rsid w:val="605E4609"/>
    <w:rsid w:val="609A4BD3"/>
    <w:rsid w:val="60AA3E6F"/>
    <w:rsid w:val="6118338C"/>
    <w:rsid w:val="61925F50"/>
    <w:rsid w:val="619E5A94"/>
    <w:rsid w:val="61A9524E"/>
    <w:rsid w:val="61D266AE"/>
    <w:rsid w:val="62252DA7"/>
    <w:rsid w:val="62297F64"/>
    <w:rsid w:val="623A10C7"/>
    <w:rsid w:val="62507C9B"/>
    <w:rsid w:val="62514D85"/>
    <w:rsid w:val="626F653F"/>
    <w:rsid w:val="62823D56"/>
    <w:rsid w:val="62922E0D"/>
    <w:rsid w:val="629D65BE"/>
    <w:rsid w:val="62BC46C2"/>
    <w:rsid w:val="62C21944"/>
    <w:rsid w:val="62D4737B"/>
    <w:rsid w:val="62E3740F"/>
    <w:rsid w:val="62F62474"/>
    <w:rsid w:val="62FB4E56"/>
    <w:rsid w:val="630B4C4F"/>
    <w:rsid w:val="634A5CBE"/>
    <w:rsid w:val="63747282"/>
    <w:rsid w:val="6375581B"/>
    <w:rsid w:val="638135AD"/>
    <w:rsid w:val="63820E04"/>
    <w:rsid w:val="63BE70A2"/>
    <w:rsid w:val="63CB2A7A"/>
    <w:rsid w:val="640815D9"/>
    <w:rsid w:val="645E744B"/>
    <w:rsid w:val="647F7394"/>
    <w:rsid w:val="648669A1"/>
    <w:rsid w:val="64911C7A"/>
    <w:rsid w:val="64AB4F27"/>
    <w:rsid w:val="64AD3F2E"/>
    <w:rsid w:val="64C323E4"/>
    <w:rsid w:val="64F95F58"/>
    <w:rsid w:val="65847385"/>
    <w:rsid w:val="65B13EA2"/>
    <w:rsid w:val="65D73958"/>
    <w:rsid w:val="65F00F11"/>
    <w:rsid w:val="65FC33BF"/>
    <w:rsid w:val="660F30F2"/>
    <w:rsid w:val="66131883"/>
    <w:rsid w:val="66415DB2"/>
    <w:rsid w:val="66B91727"/>
    <w:rsid w:val="66BC2B4E"/>
    <w:rsid w:val="66C9448E"/>
    <w:rsid w:val="67604A61"/>
    <w:rsid w:val="67670D0C"/>
    <w:rsid w:val="68093F9F"/>
    <w:rsid w:val="68295FC1"/>
    <w:rsid w:val="684E1B1C"/>
    <w:rsid w:val="68683C5B"/>
    <w:rsid w:val="687A4A6F"/>
    <w:rsid w:val="6885769C"/>
    <w:rsid w:val="68907DEF"/>
    <w:rsid w:val="68DE0B5A"/>
    <w:rsid w:val="690636D5"/>
    <w:rsid w:val="69344C1E"/>
    <w:rsid w:val="69981651"/>
    <w:rsid w:val="69E82B0F"/>
    <w:rsid w:val="6A123626"/>
    <w:rsid w:val="6A242CCE"/>
    <w:rsid w:val="6A302C06"/>
    <w:rsid w:val="6A4F6E29"/>
    <w:rsid w:val="6A9A6D03"/>
    <w:rsid w:val="6AF80B9B"/>
    <w:rsid w:val="6AFD409F"/>
    <w:rsid w:val="6B9876E6"/>
    <w:rsid w:val="6BAD2A66"/>
    <w:rsid w:val="6BB32772"/>
    <w:rsid w:val="6BC63FD3"/>
    <w:rsid w:val="6BF905D1"/>
    <w:rsid w:val="6BFA71C7"/>
    <w:rsid w:val="6C0438E3"/>
    <w:rsid w:val="6C2F0D3C"/>
    <w:rsid w:val="6C2F5BDB"/>
    <w:rsid w:val="6C6D4293"/>
    <w:rsid w:val="6C8B0FF9"/>
    <w:rsid w:val="6CC514BF"/>
    <w:rsid w:val="6CDE3E9F"/>
    <w:rsid w:val="6D266AF1"/>
    <w:rsid w:val="6DED07A9"/>
    <w:rsid w:val="6DF66946"/>
    <w:rsid w:val="6E8403F6"/>
    <w:rsid w:val="6E955409"/>
    <w:rsid w:val="6EB31C94"/>
    <w:rsid w:val="6EE80984"/>
    <w:rsid w:val="6F4A519B"/>
    <w:rsid w:val="6F744C6F"/>
    <w:rsid w:val="6F8D6E36"/>
    <w:rsid w:val="6F944668"/>
    <w:rsid w:val="6F990A84"/>
    <w:rsid w:val="6FCF744E"/>
    <w:rsid w:val="70311EB7"/>
    <w:rsid w:val="709D12FB"/>
    <w:rsid w:val="70C36CD7"/>
    <w:rsid w:val="70FA4480"/>
    <w:rsid w:val="71125845"/>
    <w:rsid w:val="71327A38"/>
    <w:rsid w:val="71C31235"/>
    <w:rsid w:val="7219067C"/>
    <w:rsid w:val="72487360"/>
    <w:rsid w:val="725107C2"/>
    <w:rsid w:val="72922AC2"/>
    <w:rsid w:val="72CC6A85"/>
    <w:rsid w:val="72D6565A"/>
    <w:rsid w:val="73366BED"/>
    <w:rsid w:val="733E6DC5"/>
    <w:rsid w:val="735D4A53"/>
    <w:rsid w:val="73E87438"/>
    <w:rsid w:val="74054476"/>
    <w:rsid w:val="742D0BE7"/>
    <w:rsid w:val="745E6FF3"/>
    <w:rsid w:val="74634609"/>
    <w:rsid w:val="74B33826"/>
    <w:rsid w:val="74DD33A7"/>
    <w:rsid w:val="759929D8"/>
    <w:rsid w:val="75C66E24"/>
    <w:rsid w:val="75EE40E9"/>
    <w:rsid w:val="75FE7E24"/>
    <w:rsid w:val="7608190C"/>
    <w:rsid w:val="76120095"/>
    <w:rsid w:val="766245F8"/>
    <w:rsid w:val="76684885"/>
    <w:rsid w:val="768865A9"/>
    <w:rsid w:val="76AE0369"/>
    <w:rsid w:val="7711659E"/>
    <w:rsid w:val="773A3B3B"/>
    <w:rsid w:val="77400C32"/>
    <w:rsid w:val="7750356B"/>
    <w:rsid w:val="77577900"/>
    <w:rsid w:val="77642B72"/>
    <w:rsid w:val="77A24B7F"/>
    <w:rsid w:val="782E35AB"/>
    <w:rsid w:val="78B43676"/>
    <w:rsid w:val="79151F2D"/>
    <w:rsid w:val="79385410"/>
    <w:rsid w:val="79674AD6"/>
    <w:rsid w:val="796B643A"/>
    <w:rsid w:val="797A14F3"/>
    <w:rsid w:val="7A396538"/>
    <w:rsid w:val="7A61783D"/>
    <w:rsid w:val="7AC202DC"/>
    <w:rsid w:val="7AC34054"/>
    <w:rsid w:val="7AF16E13"/>
    <w:rsid w:val="7AF7101C"/>
    <w:rsid w:val="7B454A69"/>
    <w:rsid w:val="7B485165"/>
    <w:rsid w:val="7BC260B9"/>
    <w:rsid w:val="7BD007D6"/>
    <w:rsid w:val="7BE20509"/>
    <w:rsid w:val="7BE61DA8"/>
    <w:rsid w:val="7BF449EB"/>
    <w:rsid w:val="7C376AA7"/>
    <w:rsid w:val="7C464F3C"/>
    <w:rsid w:val="7C923CDE"/>
    <w:rsid w:val="7CA43393"/>
    <w:rsid w:val="7CAC519C"/>
    <w:rsid w:val="7D016953"/>
    <w:rsid w:val="7D28412D"/>
    <w:rsid w:val="7D3A12F1"/>
    <w:rsid w:val="7D6B6A41"/>
    <w:rsid w:val="7D7833BD"/>
    <w:rsid w:val="7D9A0F86"/>
    <w:rsid w:val="7DD50326"/>
    <w:rsid w:val="7DEA19C6"/>
    <w:rsid w:val="7E3C3083"/>
    <w:rsid w:val="7E4B7033"/>
    <w:rsid w:val="7E775881"/>
    <w:rsid w:val="7EA810CD"/>
    <w:rsid w:val="7EC30AC6"/>
    <w:rsid w:val="7F477001"/>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Arial Unicode MS"/>
    </w:rPr>
  </w:style>
  <w:style w:type="paragraph" w:styleId="5">
    <w:name w:val="annotation text"/>
    <w:basedOn w:val="1"/>
    <w:link w:val="14"/>
    <w:qFormat/>
    <w:uiPriority w:val="99"/>
    <w:pPr>
      <w:jc w:val="left"/>
    </w:pPr>
    <w:rPr>
      <w:rFonts w:ascii="Times New Roman" w:hAnsi="Times New Roman"/>
      <w:szCs w:val="24"/>
    </w:rPr>
  </w:style>
  <w:style w:type="paragraph" w:styleId="6">
    <w:name w:val="Balloon Text"/>
    <w:basedOn w:val="1"/>
    <w:link w:val="15"/>
    <w:qFormat/>
    <w:uiPriority w:val="99"/>
    <w:rPr>
      <w:rFonts w:ascii="Times New Roman" w:hAnsi="Times New Roman"/>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character" w:customStyle="1" w:styleId="14">
    <w:name w:val="批注文字 Char"/>
    <w:basedOn w:val="11"/>
    <w:link w:val="5"/>
    <w:qFormat/>
    <w:locked/>
    <w:uiPriority w:val="99"/>
    <w:rPr>
      <w:rFonts w:ascii="Times New Roman" w:hAnsi="Times New Roman" w:eastAsia="宋体" w:cs="Times New Roman"/>
      <w:sz w:val="24"/>
      <w:szCs w:val="24"/>
    </w:rPr>
  </w:style>
  <w:style w:type="character" w:customStyle="1" w:styleId="15">
    <w:name w:val="批注框文本 Char"/>
    <w:basedOn w:val="11"/>
    <w:link w:val="6"/>
    <w:qFormat/>
    <w:locked/>
    <w:uiPriority w:val="99"/>
    <w:rPr>
      <w:rFonts w:ascii="Times New Roman" w:hAnsi="Times New Roman" w:eastAsia="宋体" w:cs="Times New Roman"/>
      <w:sz w:val="18"/>
      <w:szCs w:val="18"/>
    </w:rPr>
  </w:style>
  <w:style w:type="character" w:customStyle="1" w:styleId="16">
    <w:name w:val="页脚 Char"/>
    <w:basedOn w:val="11"/>
    <w:link w:val="7"/>
    <w:qFormat/>
    <w:locked/>
    <w:uiPriority w:val="99"/>
    <w:rPr>
      <w:rFonts w:cs="Times New Roman"/>
      <w:sz w:val="18"/>
      <w:szCs w:val="18"/>
    </w:rPr>
  </w:style>
  <w:style w:type="character" w:customStyle="1" w:styleId="17">
    <w:name w:val="页眉 Char"/>
    <w:basedOn w:val="11"/>
    <w:link w:val="8"/>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paragraph" w:customStyle="1" w:styleId="21">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22">
    <w:name w:val="ca-31"/>
    <w:basedOn w:val="11"/>
    <w:qFormat/>
    <w:uiPriority w:val="0"/>
    <w:rPr>
      <w:rFonts w:hint="eastAsia" w:ascii="仿宋_GB2312" w:eastAsia="仿宋_GB2312"/>
      <w:sz w:val="32"/>
      <w:szCs w:val="32"/>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24">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25">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6">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7">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8">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12754</Words>
  <Characters>13892</Characters>
  <Lines>35</Lines>
  <Paragraphs>9</Paragraphs>
  <TotalTime>1</TotalTime>
  <ScaleCrop>false</ScaleCrop>
  <LinksUpToDate>false</LinksUpToDate>
  <CharactersWithSpaces>14810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鹏程万里</cp:lastModifiedBy>
  <cp:lastPrinted>2022-04-22T08:40:00Z</cp:lastPrinted>
  <dcterms:modified xsi:type="dcterms:W3CDTF">2022-10-27T09:37:29Z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F288551E5B3F49D6978554C989A53A6E</vt:lpwstr>
  </property>
</Properties>
</file>