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keepNext/>
        <w:keepLines/>
        <w:spacing w:after="260"/>
        <w:rPr>
          <w:color w:val="000000"/>
          <w:sz w:val="32"/>
          <w:szCs w:val="32"/>
          <w:lang w:val="en-US"/>
        </w:rPr>
      </w:pPr>
      <w:bookmarkStart w:id="0" w:name="bookmark90"/>
      <w:bookmarkStart w:id="1" w:name="bookmark88"/>
      <w:bookmarkStart w:id="2" w:name="bookmark89"/>
      <w:r>
        <w:rPr>
          <w:rFonts w:hint="eastAsia"/>
          <w:color w:val="000000"/>
          <w:sz w:val="32"/>
          <w:szCs w:val="32"/>
          <w:lang w:val="en-US" w:eastAsia="zh-CN"/>
        </w:rPr>
        <w:t>2021</w:t>
      </w:r>
      <w:r>
        <w:rPr>
          <w:rFonts w:hint="eastAsia"/>
          <w:color w:val="000000"/>
          <w:sz w:val="32"/>
          <w:szCs w:val="32"/>
          <w:lang w:val="en-US"/>
        </w:rPr>
        <w:t>年部门整体支出绩效报告</w:t>
      </w:r>
      <w:bookmarkEnd w:id="0"/>
      <w:bookmarkEnd w:id="1"/>
      <w:bookmarkEnd w:id="2"/>
    </w:p>
    <w:p>
      <w:pPr>
        <w:spacing w:line="620" w:lineRule="exact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黑体" w:hAnsi="华文中宋" w:eastAsia="黑体"/>
          <w:sz w:val="32"/>
          <w:szCs w:val="32"/>
        </w:rPr>
        <w:t>一、基本概况</w:t>
      </w:r>
    </w:p>
    <w:p>
      <w:pPr>
        <w:spacing w:line="620" w:lineRule="exact"/>
        <w:ind w:firstLine="643" w:firstLineChars="200"/>
        <w:rPr>
          <w:rFonts w:ascii="楷体_GB2312" w:hAnsi="华文中宋" w:eastAsia="楷体_GB2312"/>
          <w:b/>
          <w:sz w:val="32"/>
          <w:szCs w:val="32"/>
        </w:rPr>
      </w:pPr>
      <w:r>
        <w:rPr>
          <w:rFonts w:hint="eastAsia" w:ascii="楷体_GB2312" w:hAnsi="华文中宋" w:eastAsia="楷体_GB2312"/>
          <w:b/>
          <w:sz w:val="32"/>
          <w:szCs w:val="32"/>
        </w:rPr>
        <w:t>（一）机构设置情况</w:t>
      </w:r>
    </w:p>
    <w:p>
      <w:pPr>
        <w:spacing w:line="620" w:lineRule="exact"/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单位内设：办公室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华文中宋" w:eastAsia="仿宋_GB2312"/>
          <w:sz w:val="32"/>
          <w:szCs w:val="32"/>
        </w:rPr>
        <w:t>巡查信息股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、产业发展股</w:t>
      </w:r>
      <w:r>
        <w:rPr>
          <w:rFonts w:hint="eastAsia" w:ascii="仿宋_GB2312" w:hAnsi="华文中宋" w:eastAsia="仿宋_GB2312"/>
          <w:sz w:val="32"/>
          <w:szCs w:val="32"/>
        </w:rPr>
        <w:t>。</w:t>
      </w:r>
    </w:p>
    <w:p>
      <w:pPr>
        <w:spacing w:line="620" w:lineRule="exact"/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珠晖区商贸服务中心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2021</w:t>
      </w:r>
      <w:r>
        <w:rPr>
          <w:rFonts w:hint="eastAsia" w:ascii="仿宋_GB2312" w:hAnsi="华文中宋" w:eastAsia="仿宋_GB2312"/>
          <w:sz w:val="32"/>
          <w:szCs w:val="32"/>
        </w:rPr>
        <w:t>年部门决算汇总公开单位构成包括：包含单位本级。</w:t>
      </w:r>
    </w:p>
    <w:p>
      <w:pPr>
        <w:spacing w:line="620" w:lineRule="exact"/>
        <w:ind w:firstLine="643" w:firstLineChars="200"/>
        <w:rPr>
          <w:rFonts w:hint="eastAsia" w:ascii="楷体_GB2312" w:hAnsi="华文中宋" w:eastAsia="楷体_GB2312"/>
          <w:b/>
          <w:sz w:val="32"/>
          <w:szCs w:val="32"/>
        </w:rPr>
      </w:pPr>
      <w:r>
        <w:rPr>
          <w:rFonts w:hint="eastAsia" w:ascii="楷体_GB2312" w:hAnsi="华文中宋" w:eastAsia="楷体_GB2312"/>
          <w:b/>
          <w:sz w:val="32"/>
          <w:szCs w:val="32"/>
        </w:rPr>
        <w:t>（二）主要工作职责</w:t>
      </w:r>
    </w:p>
    <w:p>
      <w:pPr>
        <w:spacing w:line="620" w:lineRule="exact"/>
        <w:ind w:firstLine="640" w:firstLineChars="20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主要工作任务：指导区大型商贸经营场所安全生产、消防安全宣传教育培训、商贸场所日常巡查、安全隐患排查、综治维稳信息收集等。</w:t>
      </w:r>
    </w:p>
    <w:p>
      <w:pPr>
        <w:pStyle w:val="18"/>
        <w:tabs>
          <w:tab w:val="left" w:pos="1101"/>
        </w:tabs>
        <w:spacing w:line="620" w:lineRule="exact"/>
        <w:ind w:firstLine="500"/>
        <w:rPr>
          <w:rFonts w:hint="eastAsia" w:ascii="黑体" w:hAnsi="华文中宋" w:eastAsia="黑体" w:cs="Times New Roman"/>
          <w:sz w:val="32"/>
          <w:szCs w:val="32"/>
          <w:lang w:val="en-US"/>
        </w:rPr>
      </w:pPr>
      <w:bookmarkStart w:id="3" w:name="bookmark100"/>
      <w:r>
        <w:rPr>
          <w:rFonts w:hint="eastAsia" w:ascii="黑体" w:hAnsi="华文中宋" w:eastAsia="黑体" w:cs="Times New Roman"/>
          <w:sz w:val="32"/>
          <w:szCs w:val="32"/>
          <w:lang w:val="en-US"/>
        </w:rPr>
        <w:t>二、部门整体支出管理及使用情况</w:t>
      </w:r>
    </w:p>
    <w:p>
      <w:pPr>
        <w:spacing w:line="620" w:lineRule="exact"/>
        <w:ind w:firstLine="643" w:firstLineChars="200"/>
        <w:rPr>
          <w:rFonts w:ascii="楷体_GB2312" w:hAnsi="华文中宋" w:eastAsia="楷体_GB2312"/>
          <w:b/>
          <w:sz w:val="32"/>
          <w:szCs w:val="32"/>
        </w:rPr>
      </w:pPr>
      <w:r>
        <w:rPr>
          <w:rFonts w:hint="eastAsia" w:ascii="楷体_GB2312" w:hAnsi="华文中宋" w:eastAsia="楷体_GB2312"/>
          <w:b/>
          <w:sz w:val="32"/>
          <w:szCs w:val="32"/>
        </w:rPr>
        <w:t>（一）部门整体支出规模</w:t>
      </w:r>
    </w:p>
    <w:p>
      <w:pPr>
        <w:pStyle w:val="28"/>
        <w:spacing w:after="2"/>
        <w:ind w:firstLine="640"/>
        <w:rPr>
          <w:rFonts w:hint="eastAsia" w:ascii="仿宋_GB2312" w:hAnsi="华文中宋" w:eastAsia="仿宋_GB2312" w:cs="Times New Roman"/>
          <w:sz w:val="32"/>
          <w:szCs w:val="32"/>
        </w:rPr>
      </w:pPr>
      <w:r>
        <w:rPr>
          <w:rFonts w:hint="eastAsia" w:ascii="仿宋_GB2312" w:hAnsi="华文中宋" w:eastAsia="仿宋_GB2312" w:cs="Times New Roman"/>
          <w:sz w:val="32"/>
          <w:szCs w:val="32"/>
          <w:lang w:eastAsia="zh-CN"/>
        </w:rPr>
        <w:t>2021</w:t>
      </w:r>
      <w:r>
        <w:rPr>
          <w:rFonts w:hint="eastAsia" w:ascii="仿宋_GB2312" w:hAnsi="华文中宋" w:eastAsia="仿宋_GB2312" w:cs="Times New Roman"/>
          <w:sz w:val="32"/>
          <w:szCs w:val="32"/>
        </w:rPr>
        <w:t>年度收入合计</w:t>
      </w:r>
      <w:r>
        <w:rPr>
          <w:rFonts w:hint="eastAsia" w:ascii="仿宋_GB2312" w:hAnsi="华文中宋" w:eastAsia="仿宋_GB2312" w:cs="Times New Roman"/>
          <w:sz w:val="32"/>
          <w:szCs w:val="32"/>
          <w:lang w:val="en-US" w:eastAsia="zh-CN"/>
        </w:rPr>
        <w:t>337.69</w:t>
      </w:r>
      <w:r>
        <w:rPr>
          <w:rFonts w:hint="eastAsia" w:ascii="仿宋_GB2312" w:hAnsi="华文中宋" w:eastAsia="仿宋_GB2312" w:cs="Times New Roman"/>
          <w:sz w:val="32"/>
          <w:szCs w:val="32"/>
        </w:rPr>
        <w:t>万元，其中：财政拨款收入</w:t>
      </w:r>
      <w:r>
        <w:rPr>
          <w:rFonts w:hint="eastAsia" w:ascii="仿宋_GB2312" w:hAnsi="华文中宋" w:eastAsia="仿宋_GB2312" w:cs="Times New Roman"/>
          <w:sz w:val="32"/>
          <w:szCs w:val="32"/>
          <w:lang w:val="en-US" w:eastAsia="zh-CN"/>
        </w:rPr>
        <w:t>311.75</w:t>
      </w:r>
      <w:r>
        <w:rPr>
          <w:rFonts w:hint="eastAsia" w:ascii="仿宋_GB2312" w:hAnsi="华文中宋" w:eastAsia="仿宋_GB2312" w:cs="Times New Roman"/>
          <w:sz w:val="32"/>
          <w:szCs w:val="32"/>
        </w:rPr>
        <w:t>万元，占</w:t>
      </w:r>
      <w:r>
        <w:rPr>
          <w:rFonts w:hint="eastAsia" w:ascii="仿宋_GB2312" w:hAnsi="华文中宋" w:eastAsia="仿宋_GB2312" w:cs="Times New Roman"/>
          <w:sz w:val="32"/>
          <w:szCs w:val="32"/>
          <w:lang w:val="en-US" w:eastAsia="zh-CN"/>
        </w:rPr>
        <w:t>92.32</w:t>
      </w:r>
      <w:r>
        <w:rPr>
          <w:rFonts w:hint="eastAsia" w:ascii="仿宋_GB2312" w:hAnsi="华文中宋" w:eastAsia="仿宋_GB2312" w:cs="Times New Roman"/>
          <w:sz w:val="32"/>
          <w:szCs w:val="32"/>
        </w:rPr>
        <w:t>%；上级补助收入</w:t>
      </w:r>
      <w:r>
        <w:rPr>
          <w:rFonts w:hint="eastAsia" w:ascii="仿宋_GB2312" w:hAnsi="华文中宋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华文中宋" w:eastAsia="仿宋_GB2312" w:cs="Times New Roman"/>
          <w:sz w:val="32"/>
          <w:szCs w:val="32"/>
        </w:rPr>
        <w:t>万元，占</w:t>
      </w:r>
      <w:r>
        <w:rPr>
          <w:rFonts w:hint="eastAsia" w:ascii="仿宋_GB2312" w:hAnsi="华文中宋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华文中宋" w:eastAsia="仿宋_GB2312" w:cs="Times New Roman"/>
          <w:sz w:val="32"/>
          <w:szCs w:val="32"/>
        </w:rPr>
        <w:t>%；事业收入0万元，占0%；经营收入0万元，占0%；附属单位上缴收入0万元，占0%；其他收入</w:t>
      </w:r>
      <w:r>
        <w:rPr>
          <w:rFonts w:hint="eastAsia" w:ascii="仿宋_GB2312" w:hAnsi="华文中宋" w:eastAsia="仿宋_GB2312" w:cs="Times New Roman"/>
          <w:sz w:val="32"/>
          <w:szCs w:val="32"/>
          <w:lang w:val="en-US" w:eastAsia="zh-CN"/>
        </w:rPr>
        <w:t>25.93</w:t>
      </w:r>
      <w:r>
        <w:rPr>
          <w:rFonts w:hint="eastAsia" w:ascii="仿宋_GB2312" w:hAnsi="华文中宋" w:eastAsia="仿宋_GB2312" w:cs="Times New Roman"/>
          <w:sz w:val="32"/>
          <w:szCs w:val="32"/>
        </w:rPr>
        <w:t>万元，占</w:t>
      </w:r>
      <w:r>
        <w:rPr>
          <w:rFonts w:hint="eastAsia" w:ascii="仿宋_GB2312" w:hAnsi="华文中宋" w:eastAsia="仿宋_GB2312" w:cs="Times New Roman"/>
          <w:sz w:val="32"/>
          <w:szCs w:val="32"/>
          <w:lang w:val="en-US" w:eastAsia="zh-CN"/>
        </w:rPr>
        <w:t>7.68</w:t>
      </w:r>
      <w:r>
        <w:rPr>
          <w:rFonts w:hint="eastAsia" w:ascii="仿宋_GB2312" w:hAnsi="华文中宋" w:eastAsia="仿宋_GB2312" w:cs="Times New Roman"/>
          <w:sz w:val="32"/>
          <w:szCs w:val="32"/>
        </w:rPr>
        <w:t xml:space="preserve">%。 </w:t>
      </w:r>
    </w:p>
    <w:p>
      <w:pPr>
        <w:spacing w:line="620" w:lineRule="exact"/>
        <w:ind w:firstLine="643" w:firstLineChars="200"/>
        <w:rPr>
          <w:rFonts w:hint="eastAsia" w:ascii="楷体_GB2312" w:hAnsi="华文中宋" w:eastAsia="楷体_GB2312"/>
          <w:b/>
          <w:sz w:val="32"/>
          <w:szCs w:val="32"/>
        </w:rPr>
      </w:pPr>
      <w:r>
        <w:rPr>
          <w:rFonts w:hint="eastAsia" w:ascii="楷体_GB2312" w:hAnsi="华文中宋" w:eastAsia="楷体_GB2312"/>
          <w:b/>
          <w:sz w:val="32"/>
          <w:szCs w:val="32"/>
        </w:rPr>
        <w:t>（二）支出使用方向和主要内容、涉及范围等</w:t>
      </w:r>
    </w:p>
    <w:p>
      <w:pPr>
        <w:spacing w:line="620" w:lineRule="exact"/>
        <w:ind w:firstLine="643" w:firstLineChars="200"/>
        <w:rPr>
          <w:rFonts w:hint="eastAsia" w:ascii="仿宋_GB2312" w:hAnsi="华文中宋" w:eastAsia="仿宋_GB2312"/>
          <w:b/>
          <w:sz w:val="32"/>
          <w:szCs w:val="32"/>
        </w:rPr>
      </w:pPr>
      <w:r>
        <w:rPr>
          <w:rFonts w:hint="eastAsia" w:ascii="仿宋_GB2312" w:hAnsi="华文中宋" w:eastAsia="仿宋_GB2312"/>
          <w:b/>
          <w:sz w:val="32"/>
          <w:szCs w:val="32"/>
        </w:rPr>
        <w:t>1、基本支出情况</w:t>
      </w:r>
    </w:p>
    <w:p>
      <w:pPr>
        <w:spacing w:line="620" w:lineRule="exact"/>
        <w:ind w:firstLine="640" w:firstLineChars="20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  <w:lang w:eastAsia="zh-CN"/>
        </w:rPr>
        <w:t>2021</w:t>
      </w:r>
      <w:r>
        <w:rPr>
          <w:rFonts w:ascii="仿宋_GB2312" w:hAnsi="华文中宋" w:eastAsia="仿宋_GB2312"/>
          <w:sz w:val="32"/>
          <w:szCs w:val="32"/>
        </w:rPr>
        <w:t>年度财政拨款基本支出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266.59</w:t>
      </w:r>
      <w:r>
        <w:rPr>
          <w:rFonts w:ascii="仿宋_GB2312" w:hAnsi="华文中宋" w:eastAsia="仿宋_GB2312"/>
          <w:sz w:val="32"/>
          <w:szCs w:val="32"/>
        </w:rPr>
        <w:t>万元，其中：人员经费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134.13</w:t>
      </w:r>
      <w:r>
        <w:rPr>
          <w:rFonts w:ascii="仿宋_GB2312" w:hAnsi="华文中宋" w:eastAsia="仿宋_GB2312"/>
          <w:sz w:val="32"/>
          <w:szCs w:val="32"/>
        </w:rPr>
        <w:t>万元，主要包括基本工资、津贴补贴、奖金、伙食补助费；公用经费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132.47</w:t>
      </w:r>
      <w:r>
        <w:rPr>
          <w:rFonts w:ascii="仿宋_GB2312" w:hAnsi="华文中宋" w:eastAsia="仿宋_GB2312"/>
          <w:sz w:val="32"/>
          <w:szCs w:val="32"/>
        </w:rPr>
        <w:t>万元，主要包括办公费、印刷费、咨询费、手续费。</w:t>
      </w:r>
    </w:p>
    <w:p>
      <w:pPr>
        <w:spacing w:line="620" w:lineRule="exact"/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“三公”经费支出为</w:t>
      </w:r>
      <w:r>
        <w:rPr>
          <w:rFonts w:ascii="仿宋_GB2312" w:hAnsi="华文中宋" w:eastAsia="仿宋_GB2312"/>
          <w:sz w:val="32"/>
          <w:szCs w:val="32"/>
        </w:rPr>
        <w:t>0.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67</w:t>
      </w:r>
      <w:r>
        <w:rPr>
          <w:rFonts w:hint="eastAsia" w:ascii="仿宋_GB2312" w:hAnsi="华文中宋" w:eastAsia="仿宋_GB2312"/>
          <w:sz w:val="32"/>
          <w:szCs w:val="32"/>
        </w:rPr>
        <w:t>万元，主</w:t>
      </w:r>
      <w:r>
        <w:rPr>
          <w:rFonts w:ascii="仿宋_GB2312" w:hAnsi="华文中宋" w:eastAsia="仿宋_GB2312"/>
          <w:sz w:val="32"/>
          <w:szCs w:val="32"/>
        </w:rPr>
        <w:t>要用于</w:t>
      </w:r>
      <w:r>
        <w:rPr>
          <w:rFonts w:hint="eastAsia" w:ascii="仿宋_GB2312" w:hAnsi="华文中宋" w:eastAsia="仿宋_GB2312"/>
          <w:sz w:val="32"/>
          <w:szCs w:val="32"/>
        </w:rPr>
        <w:t>公务用车运行费支出</w:t>
      </w:r>
      <w:r>
        <w:rPr>
          <w:rFonts w:ascii="仿宋_GB2312" w:hAnsi="华文中宋" w:eastAsia="仿宋_GB2312"/>
          <w:sz w:val="32"/>
          <w:szCs w:val="32"/>
        </w:rPr>
        <w:t>。</w:t>
      </w:r>
    </w:p>
    <w:p>
      <w:pPr>
        <w:spacing w:line="620" w:lineRule="exact"/>
        <w:ind w:firstLine="643" w:firstLineChars="200"/>
        <w:rPr>
          <w:rFonts w:hint="eastAsia" w:ascii="仿宋_GB2312" w:hAnsi="华文中宋" w:eastAsia="仿宋_GB2312"/>
          <w:b/>
          <w:sz w:val="32"/>
          <w:szCs w:val="32"/>
        </w:rPr>
      </w:pPr>
      <w:r>
        <w:rPr>
          <w:rFonts w:hint="eastAsia" w:ascii="仿宋_GB2312" w:hAnsi="华文中宋" w:eastAsia="仿宋_GB2312"/>
          <w:b/>
          <w:sz w:val="32"/>
          <w:szCs w:val="32"/>
        </w:rPr>
        <w:t>2、专项支出情况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2021</w:t>
      </w:r>
      <w:r>
        <w:rPr>
          <w:rFonts w:hint="eastAsia" w:ascii="仿宋_GB2312" w:eastAsia="仿宋_GB2312"/>
          <w:sz w:val="32"/>
          <w:szCs w:val="32"/>
        </w:rPr>
        <w:t>年专项支出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spacing w:line="620" w:lineRule="exact"/>
        <w:ind w:firstLine="643" w:firstLineChars="200"/>
        <w:rPr>
          <w:rFonts w:hint="eastAsia" w:ascii="仿宋_GB2312" w:hAnsi="华文中宋" w:eastAsia="仿宋_GB2312"/>
          <w:b/>
          <w:sz w:val="32"/>
          <w:szCs w:val="32"/>
        </w:rPr>
      </w:pPr>
      <w:r>
        <w:rPr>
          <w:rFonts w:hint="eastAsia" w:ascii="仿宋_GB2312" w:hAnsi="华文中宋" w:eastAsia="仿宋_GB2312"/>
          <w:b/>
          <w:sz w:val="32"/>
          <w:szCs w:val="32"/>
        </w:rPr>
        <w:t>3、“三公”经费情况</w:t>
      </w:r>
    </w:p>
    <w:p>
      <w:pPr>
        <w:spacing w:line="620" w:lineRule="exact"/>
        <w:ind w:firstLine="640" w:firstLineChars="20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  <w:lang w:eastAsia="zh-CN"/>
        </w:rPr>
        <w:t>2021</w:t>
      </w:r>
      <w:r>
        <w:rPr>
          <w:rFonts w:hint="eastAsia" w:ascii="仿宋_GB2312" w:hAnsi="华文中宋" w:eastAsia="仿宋_GB2312"/>
          <w:sz w:val="32"/>
          <w:szCs w:val="32"/>
        </w:rPr>
        <w:t>年“三公”经费预算数为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华文中宋" w:eastAsia="仿宋_GB2312"/>
          <w:sz w:val="32"/>
          <w:szCs w:val="32"/>
        </w:rPr>
        <w:t>万元，其中，公务接待费</w:t>
      </w:r>
      <w:r>
        <w:rPr>
          <w:rFonts w:ascii="仿宋_GB2312" w:hAnsi="华文中宋" w:eastAsia="仿宋_GB2312"/>
          <w:sz w:val="32"/>
          <w:szCs w:val="32"/>
        </w:rPr>
        <w:t>0</w:t>
      </w:r>
      <w:r>
        <w:rPr>
          <w:rFonts w:hint="eastAsia" w:ascii="仿宋_GB2312" w:hAnsi="华文中宋" w:eastAsia="仿宋_GB2312"/>
          <w:sz w:val="32"/>
          <w:szCs w:val="32"/>
        </w:rPr>
        <w:t>万元，公务用车购置及运行费</w:t>
      </w:r>
      <w:r>
        <w:rPr>
          <w:rFonts w:ascii="仿宋_GB2312" w:hAnsi="华文中宋" w:eastAsia="仿宋_GB2312"/>
          <w:sz w:val="32"/>
          <w:szCs w:val="32"/>
        </w:rPr>
        <w:t>0.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67</w:t>
      </w:r>
      <w:r>
        <w:rPr>
          <w:rFonts w:hint="eastAsia" w:ascii="仿宋_GB2312" w:hAnsi="华文中宋" w:eastAsia="仿宋_GB2312"/>
          <w:sz w:val="32"/>
          <w:szCs w:val="32"/>
        </w:rPr>
        <w:t>万元（其中，公务用车购置费</w:t>
      </w:r>
      <w:r>
        <w:rPr>
          <w:rFonts w:ascii="仿宋_GB2312" w:hAnsi="华文中宋" w:eastAsia="仿宋_GB2312"/>
          <w:sz w:val="32"/>
          <w:szCs w:val="32"/>
        </w:rPr>
        <w:t>0</w:t>
      </w:r>
      <w:r>
        <w:rPr>
          <w:rFonts w:hint="eastAsia" w:ascii="仿宋_GB2312" w:hAnsi="华文中宋" w:eastAsia="仿宋_GB2312"/>
          <w:sz w:val="32"/>
          <w:szCs w:val="32"/>
        </w:rPr>
        <w:t>万元，公务用车运行费</w:t>
      </w:r>
      <w:r>
        <w:rPr>
          <w:rFonts w:ascii="仿宋_GB2312" w:hAnsi="华文中宋" w:eastAsia="仿宋_GB2312"/>
          <w:sz w:val="32"/>
          <w:szCs w:val="32"/>
        </w:rPr>
        <w:t>0.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67</w:t>
      </w:r>
      <w:r>
        <w:rPr>
          <w:rFonts w:hint="eastAsia" w:ascii="仿宋_GB2312" w:hAnsi="华文中宋" w:eastAsia="仿宋_GB2312"/>
          <w:sz w:val="32"/>
          <w:szCs w:val="32"/>
        </w:rPr>
        <w:t>万元），因公出国（境）费</w:t>
      </w:r>
      <w:r>
        <w:rPr>
          <w:rFonts w:ascii="仿宋_GB2312" w:hAnsi="华文中宋" w:eastAsia="仿宋_GB2312"/>
          <w:sz w:val="32"/>
          <w:szCs w:val="32"/>
        </w:rPr>
        <w:t>0</w:t>
      </w:r>
      <w:r>
        <w:rPr>
          <w:rFonts w:hint="eastAsia" w:ascii="仿宋_GB2312" w:hAnsi="华文中宋" w:eastAsia="仿宋_GB2312"/>
          <w:sz w:val="32"/>
          <w:szCs w:val="32"/>
        </w:rPr>
        <w:t>万元。</w:t>
      </w:r>
    </w:p>
    <w:p>
      <w:pPr>
        <w:spacing w:line="620" w:lineRule="exact"/>
        <w:ind w:firstLine="640" w:firstLineChars="200"/>
        <w:rPr>
          <w:rFonts w:hint="eastAsia" w:ascii="黑体" w:hAnsi="华文中宋" w:eastAsia="黑体"/>
          <w:sz w:val="32"/>
          <w:szCs w:val="32"/>
        </w:rPr>
      </w:pPr>
      <w:r>
        <w:rPr>
          <w:rFonts w:hint="eastAsia" w:ascii="黑体" w:hAnsi="华文中宋" w:eastAsia="黑体"/>
          <w:sz w:val="32"/>
          <w:szCs w:val="32"/>
        </w:rPr>
        <w:t>三、部门专项组织实施情况</w:t>
      </w:r>
      <w:bookmarkStart w:id="5" w:name="_GoBack"/>
      <w:bookmarkEnd w:id="5"/>
    </w:p>
    <w:p>
      <w:pPr>
        <w:spacing w:line="620" w:lineRule="exact"/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无建设项目</w:t>
      </w:r>
    </w:p>
    <w:bookmarkEnd w:id="3"/>
    <w:p>
      <w:pPr>
        <w:spacing w:line="620" w:lineRule="exact"/>
        <w:ind w:firstLine="640" w:firstLineChars="200"/>
        <w:rPr>
          <w:rFonts w:ascii="黑体" w:hAnsi="华文中宋" w:eastAsia="黑体"/>
          <w:sz w:val="32"/>
          <w:szCs w:val="32"/>
        </w:rPr>
      </w:pPr>
      <w:r>
        <w:rPr>
          <w:rFonts w:hint="eastAsia" w:ascii="黑体" w:hAnsi="华文中宋" w:eastAsia="黑体"/>
          <w:sz w:val="32"/>
          <w:szCs w:val="32"/>
        </w:rPr>
        <w:t>四、部门整体支出绩效情况</w:t>
      </w:r>
    </w:p>
    <w:tbl>
      <w:tblPr>
        <w:tblStyle w:val="5"/>
        <w:tblW w:w="900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00"/>
      </w:tblGrid>
      <w:tr>
        <w:trPr>
          <w:trHeight w:val="500" w:hRule="atLeast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中宋" w:eastAsia="仿宋_GB2312"/>
                <w:sz w:val="32"/>
                <w:szCs w:val="32"/>
              </w:rPr>
              <w:t>反映部门履职及履职效益情况。主要从部门整体支出的经济性、效率性、有效性和可持续性等方面进行量化、具体分析。其中：经济性分析主要是对成本（预算）控制、节约等情况进 行分析；效率性分析主要是对各项工作、专项完成的进度及质 量等情况进行分析；有效性分析主要是对反映部门整体支出使 用效果的个性指标进行分析；可持续性分析主要是对支出完成后，后续政策、资金、人员机构安排和管理措施等影响项目持续发展的因素进行分析。</w:t>
            </w:r>
          </w:p>
          <w:p>
            <w:pPr>
              <w:spacing w:line="620" w:lineRule="exact"/>
              <w:ind w:firstLine="640" w:firstLineChars="200"/>
              <w:rPr>
                <w:rFonts w:hint="eastAsia" w:ascii="黑体" w:hAnsi="华文中宋" w:eastAsia="黑体"/>
                <w:sz w:val="32"/>
                <w:szCs w:val="32"/>
              </w:rPr>
            </w:pPr>
            <w:r>
              <w:rPr>
                <w:rFonts w:hint="eastAsia" w:ascii="黑体" w:hAnsi="华文中宋" w:eastAsia="黑体"/>
                <w:sz w:val="32"/>
                <w:szCs w:val="32"/>
              </w:rPr>
              <w:t>五、存在的主要问题</w:t>
            </w:r>
          </w:p>
          <w:p>
            <w:pPr>
              <w:spacing w:line="620" w:lineRule="exact"/>
              <w:ind w:firstLine="640" w:firstLineChars="200"/>
              <w:rPr>
                <w:rFonts w:hint="eastAsia"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年初预算的编制较为精细，按照费用支出的使用范围和内容，进行了基本支出、项目支出的严格区分，并按照预算的最末级明细进行预算支出管理;编制明细预算;预算执行情况还有待加强，</w:t>
            </w:r>
          </w:p>
          <w:p>
            <w:pPr>
              <w:spacing w:line="620" w:lineRule="exact"/>
              <w:ind w:firstLine="640" w:firstLineChars="200"/>
              <w:rPr>
                <w:rFonts w:hint="eastAsia" w:ascii="宋体" w:hAnsi="宋体" w:cs="宋体"/>
                <w:b/>
                <w:color w:val="000000"/>
                <w:sz w:val="44"/>
                <w:szCs w:val="44"/>
              </w:rPr>
            </w:pPr>
            <w:r>
              <w:rPr>
                <w:rFonts w:hint="eastAsia" w:ascii="黑体" w:hAnsi="华文中宋" w:eastAsia="黑体"/>
                <w:sz w:val="32"/>
                <w:szCs w:val="32"/>
              </w:rPr>
              <w:t>六、改进措施和建议</w:t>
            </w:r>
          </w:p>
        </w:tc>
      </w:tr>
    </w:tbl>
    <w:p>
      <w:pPr>
        <w:pStyle w:val="18"/>
        <w:spacing w:line="360" w:lineRule="auto"/>
        <w:ind w:firstLine="420"/>
        <w:rPr>
          <w:rFonts w:ascii="仿宋_GB2312" w:hAnsi="华文中宋" w:eastAsia="仿宋_GB2312" w:cs="Times New Roman"/>
          <w:sz w:val="32"/>
          <w:szCs w:val="32"/>
          <w:lang w:val="en-US" w:bidi="ar-SA"/>
        </w:rPr>
      </w:pPr>
      <w:r>
        <w:rPr>
          <w:rFonts w:hint="eastAsia" w:ascii="仿宋_GB2312" w:hAnsi="华文中宋" w:eastAsia="仿宋_GB2312" w:cs="Times New Roman"/>
          <w:sz w:val="32"/>
          <w:szCs w:val="32"/>
          <w:lang w:val="en-US" w:bidi="ar-SA"/>
        </w:rPr>
        <w:t>主要阐述资金安排、使用，资产管理过程中存在的问题。</w:t>
      </w:r>
    </w:p>
    <w:p>
      <w:pPr>
        <w:pStyle w:val="18"/>
        <w:spacing w:line="360" w:lineRule="auto"/>
        <w:ind w:firstLine="420"/>
        <w:rPr>
          <w:rFonts w:ascii="仿宋_GB2312" w:hAnsi="华文中宋" w:eastAsia="仿宋_GB2312" w:cs="Times New Roman"/>
          <w:sz w:val="32"/>
          <w:szCs w:val="32"/>
          <w:lang w:val="en-US" w:bidi="ar-SA"/>
        </w:rPr>
      </w:pPr>
      <w:r>
        <w:rPr>
          <w:rFonts w:hint="eastAsia" w:ascii="仿宋_GB2312" w:hAnsi="华文中宋" w:eastAsia="仿宋_GB2312" w:cs="Times New Roman"/>
          <w:sz w:val="32"/>
          <w:szCs w:val="32"/>
          <w:lang w:val="en-US" w:bidi="ar-SA"/>
        </w:rPr>
        <w:t>固定资产的登记、管理不完善，资产管理需要加强。</w:t>
      </w:r>
    </w:p>
    <w:p>
      <w:pPr>
        <w:spacing w:line="620" w:lineRule="exact"/>
        <w:ind w:firstLine="640" w:firstLineChars="200"/>
        <w:rPr>
          <w:rFonts w:ascii="黑体" w:hAnsi="华文中宋" w:eastAsia="黑体"/>
          <w:sz w:val="32"/>
          <w:szCs w:val="32"/>
        </w:rPr>
      </w:pPr>
      <w:bookmarkStart w:id="4" w:name="bookmark104"/>
      <w:r>
        <w:rPr>
          <w:rFonts w:hint="eastAsia" w:ascii="黑体" w:hAnsi="华文中宋" w:eastAsia="黑体"/>
          <w:sz w:val="32"/>
          <w:szCs w:val="32"/>
        </w:rPr>
        <w:t>七</w:t>
      </w:r>
      <w:bookmarkEnd w:id="4"/>
      <w:r>
        <w:rPr>
          <w:rFonts w:hint="eastAsia" w:ascii="黑体" w:hAnsi="华文中宋" w:eastAsia="黑体"/>
          <w:sz w:val="32"/>
          <w:szCs w:val="32"/>
        </w:rPr>
        <w:t>、改进措施和有关建议</w:t>
      </w:r>
    </w:p>
    <w:p>
      <w:pPr>
        <w:pStyle w:val="18"/>
        <w:spacing w:line="360" w:lineRule="auto"/>
        <w:ind w:firstLine="420"/>
        <w:rPr>
          <w:rFonts w:ascii="仿宋_GB2312" w:hAnsi="华文中宋" w:eastAsia="仿宋_GB2312" w:cs="Times New Roman"/>
          <w:sz w:val="32"/>
          <w:szCs w:val="32"/>
          <w:lang w:val="en-US" w:bidi="ar-SA"/>
        </w:rPr>
      </w:pPr>
      <w:r>
        <w:rPr>
          <w:rFonts w:hint="eastAsia" w:ascii="仿宋_GB2312" w:hAnsi="华文中宋" w:eastAsia="仿宋_GB2312" w:cs="Times New Roman"/>
          <w:sz w:val="32"/>
          <w:szCs w:val="32"/>
          <w:lang w:val="en-US" w:bidi="ar-SA"/>
        </w:rPr>
        <w:t>对存在的问题提出切实可行的改进措施和有关建议等。建立健全固定资产管理制度。把固定资产纳入规范化、制度化轨道，建立各项固定资产管理管理制度，做到有章有循。准备反映固定资产增减情况，及时入账，做到账实相符。</w:t>
      </w:r>
    </w:p>
    <w:p>
      <w:pPr>
        <w:spacing w:line="1" w:lineRule="exact"/>
        <w:jc w:val="center"/>
        <w:rPr>
          <w:rFonts w:ascii="宋体" w:hAnsi="宋体" w:cs="宋体"/>
          <w:sz w:val="18"/>
          <w:szCs w:val="18"/>
        </w:rPr>
      </w:pPr>
    </w:p>
    <w:sectPr>
      <w:footerReference r:id="rId3" w:type="default"/>
      <w:footerReference r:id="rId4" w:type="even"/>
      <w:pgSz w:w="11906" w:h="16838"/>
      <w:pgMar w:top="1383" w:right="1701" w:bottom="127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1010920</wp:posOffset>
              </wp:positionH>
              <wp:positionV relativeFrom="page">
                <wp:posOffset>9731375</wp:posOffset>
              </wp:positionV>
              <wp:extent cx="603250" cy="106680"/>
              <wp:effectExtent l="0" t="0" r="0" b="0"/>
              <wp:wrapNone/>
              <wp:docPr id="30" name="Shap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250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4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eastAsia="Courier New" w:cs="Courier New"/>
                              <w:color w:val="000000"/>
                              <w:sz w:val="24"/>
                              <w:szCs w:val="24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ourier New" w:hAnsi="Courier New" w:eastAsia="Courier New" w:cs="Courier New"/>
                              <w:color w:val="000000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Fonts w:ascii="Courier New" w:hAnsi="Courier New" w:eastAsia="Courier New" w:cs="Courier New"/>
                              <w:color w:val="000000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eastAsia="Courier New" w:cs="Courier New"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eastAsia="Courier New" w:cs="Courier New"/>
                              <w:color w:val="000000"/>
                              <w:sz w:val="24"/>
                              <w:szCs w:val="24"/>
                              <w:lang w:val="en-US" w:eastAsia="en-US" w:bidi="en-US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0" o:spid="_x0000_s1026" o:spt="202" type="#_x0000_t202" style="position:absolute;left:0pt;margin-left:79.6pt;margin-top:766.25pt;height:8.4pt;width:47.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J4wtzDYAAAADQEAAA8AAAAAAAAAAQAgAAAAIgAAAGRycy9kb3ducmV2LnhtbFBLAQIU&#10;ABQAAAAIAIdO4kAtT8IzugEAAJcDAAAOAAAAAAAAAAEAIAAAACc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4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eastAsia="Courier New" w:cs="Courier New"/>
                        <w:color w:val="000000"/>
                        <w:sz w:val="24"/>
                        <w:szCs w:val="24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ourier New" w:hAnsi="Courier New" w:eastAsia="Courier New" w:cs="Courier New"/>
                        <w:color w:val="000000"/>
                        <w:sz w:val="24"/>
                        <w:szCs w:val="24"/>
                      </w:rPr>
                      <w:t>#</w:t>
                    </w:r>
                    <w:r>
                      <w:rPr>
                        <w:rFonts w:ascii="Courier New" w:hAnsi="Courier New" w:eastAsia="Courier New" w:cs="Courier New"/>
                        <w:color w:val="000000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eastAsia="Courier New" w:cs="Courier New"/>
                        <w:color w:val="00000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color w:val="000000"/>
                        <w:sz w:val="24"/>
                        <w:szCs w:val="24"/>
                        <w:lang w:val="en-US" w:eastAsia="en-US" w:bidi="en-US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wYTQwZjA1MjgyNjQ0M2JjYTNlYWY2MzlkYzdmYjIifQ=="/>
  </w:docVars>
  <w:rsids>
    <w:rsidRoot w:val="56C81120"/>
    <w:rsid w:val="000C11D6"/>
    <w:rsid w:val="001F2433"/>
    <w:rsid w:val="00201867"/>
    <w:rsid w:val="002B1A02"/>
    <w:rsid w:val="003A10EB"/>
    <w:rsid w:val="00427756"/>
    <w:rsid w:val="00586F2B"/>
    <w:rsid w:val="005F4829"/>
    <w:rsid w:val="005F7E1C"/>
    <w:rsid w:val="006D667F"/>
    <w:rsid w:val="007D4018"/>
    <w:rsid w:val="008B1F0A"/>
    <w:rsid w:val="00931DF7"/>
    <w:rsid w:val="00946EA3"/>
    <w:rsid w:val="009922E1"/>
    <w:rsid w:val="009D2CE8"/>
    <w:rsid w:val="00A42942"/>
    <w:rsid w:val="00AA09A4"/>
    <w:rsid w:val="00B60F5D"/>
    <w:rsid w:val="00BE343B"/>
    <w:rsid w:val="00C447E1"/>
    <w:rsid w:val="00CD6AE3"/>
    <w:rsid w:val="00D4065B"/>
    <w:rsid w:val="00DA690A"/>
    <w:rsid w:val="00F83116"/>
    <w:rsid w:val="01F646D9"/>
    <w:rsid w:val="02312FDE"/>
    <w:rsid w:val="030A3C3B"/>
    <w:rsid w:val="03737E75"/>
    <w:rsid w:val="096E03E2"/>
    <w:rsid w:val="0A7212EE"/>
    <w:rsid w:val="0AEC21F6"/>
    <w:rsid w:val="0C505A2A"/>
    <w:rsid w:val="115B71E4"/>
    <w:rsid w:val="15224E9F"/>
    <w:rsid w:val="1810076A"/>
    <w:rsid w:val="1BB424A3"/>
    <w:rsid w:val="1CB55F50"/>
    <w:rsid w:val="1F6E185C"/>
    <w:rsid w:val="205265F0"/>
    <w:rsid w:val="22327D4B"/>
    <w:rsid w:val="236639AE"/>
    <w:rsid w:val="290A0FAD"/>
    <w:rsid w:val="2BD842FA"/>
    <w:rsid w:val="2C8F18D7"/>
    <w:rsid w:val="2EAE0451"/>
    <w:rsid w:val="30242343"/>
    <w:rsid w:val="33B015AE"/>
    <w:rsid w:val="36FA7313"/>
    <w:rsid w:val="386726C0"/>
    <w:rsid w:val="39A64049"/>
    <w:rsid w:val="39F07A6A"/>
    <w:rsid w:val="3B195752"/>
    <w:rsid w:val="3BE645DA"/>
    <w:rsid w:val="3F577654"/>
    <w:rsid w:val="419B1E66"/>
    <w:rsid w:val="423B1DB6"/>
    <w:rsid w:val="431130AB"/>
    <w:rsid w:val="46982461"/>
    <w:rsid w:val="4999703E"/>
    <w:rsid w:val="4C7D16E9"/>
    <w:rsid w:val="4D301426"/>
    <w:rsid w:val="4D625F91"/>
    <w:rsid w:val="4DAD5A12"/>
    <w:rsid w:val="527541A2"/>
    <w:rsid w:val="52E51199"/>
    <w:rsid w:val="52FC628B"/>
    <w:rsid w:val="56264655"/>
    <w:rsid w:val="56C81120"/>
    <w:rsid w:val="56F073BC"/>
    <w:rsid w:val="58694C64"/>
    <w:rsid w:val="5B8E7E9F"/>
    <w:rsid w:val="5D951189"/>
    <w:rsid w:val="62513BD9"/>
    <w:rsid w:val="633E6B66"/>
    <w:rsid w:val="666511E2"/>
    <w:rsid w:val="67983B05"/>
    <w:rsid w:val="683434AB"/>
    <w:rsid w:val="688268EC"/>
    <w:rsid w:val="710559BC"/>
    <w:rsid w:val="760A16B6"/>
    <w:rsid w:val="7785384A"/>
    <w:rsid w:val="78CF2B34"/>
    <w:rsid w:val="7E463776"/>
    <w:rsid w:val="7EAD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qFormat="1" w:unhideWhenUsed="0" w:uiPriority="0" w:semiHidden="0" w:name="HTML Acronym"/>
    <w:lsdException w:uiPriority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iPriority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2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jc w:val="left"/>
    </w:pPr>
    <w:rPr>
      <w:kern w:val="0"/>
      <w:sz w:val="24"/>
    </w:rPr>
  </w:style>
  <w:style w:type="character" w:styleId="7">
    <w:name w:val="FollowedHyperlink"/>
    <w:basedOn w:val="6"/>
    <w:qFormat/>
    <w:uiPriority w:val="0"/>
    <w:rPr>
      <w:color w:val="800080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0000FF"/>
      <w:u w:val="none"/>
    </w:rPr>
  </w:style>
  <w:style w:type="character" w:styleId="14">
    <w:name w:val="HTML Code"/>
    <w:basedOn w:val="6"/>
    <w:qFormat/>
    <w:uiPriority w:val="0"/>
    <w:rPr>
      <w:rFonts w:ascii="微软雅黑" w:hAnsi="微软雅黑" w:eastAsia="微软雅黑" w:cs="微软雅黑"/>
      <w:sz w:val="14"/>
      <w:szCs w:val="14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paragraph" w:customStyle="1" w:styleId="18">
    <w:name w:val="Body text|1"/>
    <w:basedOn w:val="1"/>
    <w:qFormat/>
    <w:uiPriority w:val="0"/>
    <w:pPr>
      <w:spacing w:line="408" w:lineRule="auto"/>
      <w:ind w:firstLine="400"/>
    </w:pPr>
    <w:rPr>
      <w:rFonts w:ascii="宋体" w:hAnsi="宋体" w:cs="宋体"/>
      <w:sz w:val="19"/>
      <w:szCs w:val="19"/>
      <w:lang w:val="zh-CN" w:bidi="zh-CN"/>
    </w:rPr>
  </w:style>
  <w:style w:type="paragraph" w:customStyle="1" w:styleId="19">
    <w:name w:val="Heading #2|1"/>
    <w:basedOn w:val="1"/>
    <w:qFormat/>
    <w:uiPriority w:val="0"/>
    <w:pPr>
      <w:spacing w:after="300"/>
      <w:jc w:val="center"/>
      <w:outlineLvl w:val="1"/>
    </w:pPr>
    <w:rPr>
      <w:rFonts w:ascii="宋体" w:hAnsi="宋体" w:cs="宋体"/>
      <w:sz w:val="44"/>
      <w:szCs w:val="44"/>
      <w:lang w:val="zh-CN" w:bidi="zh-CN"/>
    </w:rPr>
  </w:style>
  <w:style w:type="paragraph" w:customStyle="1" w:styleId="20">
    <w:name w:val="Body text|3"/>
    <w:basedOn w:val="1"/>
    <w:qFormat/>
    <w:uiPriority w:val="0"/>
    <w:pPr>
      <w:spacing w:before="220" w:after="720"/>
      <w:ind w:firstLine="520"/>
    </w:pPr>
    <w:rPr>
      <w:sz w:val="32"/>
      <w:szCs w:val="32"/>
    </w:rPr>
  </w:style>
  <w:style w:type="paragraph" w:customStyle="1" w:styleId="21">
    <w:name w:val="Other|1"/>
    <w:basedOn w:val="1"/>
    <w:qFormat/>
    <w:uiPriority w:val="0"/>
    <w:pPr>
      <w:spacing w:line="302" w:lineRule="exact"/>
    </w:pPr>
    <w:rPr>
      <w:rFonts w:ascii="宋体" w:hAnsi="宋体" w:cs="宋体"/>
      <w:sz w:val="19"/>
      <w:szCs w:val="19"/>
      <w:lang w:val="zh-CN" w:bidi="zh-CN"/>
    </w:rPr>
  </w:style>
  <w:style w:type="paragraph" w:customStyle="1" w:styleId="22">
    <w:name w:val="Body text|4"/>
    <w:basedOn w:val="1"/>
    <w:qFormat/>
    <w:uiPriority w:val="0"/>
    <w:pPr>
      <w:spacing w:after="60"/>
      <w:ind w:firstLine="320"/>
    </w:pPr>
    <w:rPr>
      <w:rFonts w:ascii="宋体" w:hAnsi="宋体" w:cs="宋体"/>
      <w:lang w:val="zh-CN" w:bidi="zh-CN"/>
    </w:rPr>
  </w:style>
  <w:style w:type="paragraph" w:customStyle="1" w:styleId="23">
    <w:name w:val="Table caption|1"/>
    <w:basedOn w:val="1"/>
    <w:qFormat/>
    <w:uiPriority w:val="0"/>
    <w:pPr>
      <w:spacing w:line="302" w:lineRule="exact"/>
      <w:jc w:val="right"/>
    </w:pPr>
    <w:rPr>
      <w:rFonts w:ascii="宋体" w:hAnsi="宋体" w:cs="宋体"/>
      <w:sz w:val="19"/>
      <w:szCs w:val="19"/>
      <w:lang w:val="zh-CN" w:bidi="zh-CN"/>
    </w:rPr>
  </w:style>
  <w:style w:type="paragraph" w:customStyle="1" w:styleId="24">
    <w:name w:val="Header or footer|2"/>
    <w:basedOn w:val="1"/>
    <w:qFormat/>
    <w:uiPriority w:val="0"/>
    <w:rPr>
      <w:sz w:val="20"/>
      <w:szCs w:val="20"/>
      <w:lang w:val="zh-CN" w:bidi="zh-CN"/>
    </w:rPr>
  </w:style>
  <w:style w:type="paragraph" w:customStyle="1" w:styleId="25">
    <w:name w:val="Body text|2"/>
    <w:basedOn w:val="1"/>
    <w:qFormat/>
    <w:uiPriority w:val="0"/>
    <w:pPr>
      <w:spacing w:after="470"/>
    </w:pPr>
    <w:rPr>
      <w:b/>
      <w:bCs/>
      <w:sz w:val="19"/>
      <w:szCs w:val="19"/>
      <w:lang w:val="zh-CN" w:bidi="zh-CN"/>
    </w:rPr>
  </w:style>
  <w:style w:type="character" w:customStyle="1" w:styleId="26">
    <w:name w:val="bsharetext"/>
    <w:basedOn w:val="6"/>
    <w:qFormat/>
    <w:uiPriority w:val="0"/>
  </w:style>
  <w:style w:type="character" w:customStyle="1" w:styleId="27">
    <w:name w:val="页眉 字符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28">
    <w:name w:val="1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994</Words>
  <Characters>1063</Characters>
  <Lines>7</Lines>
  <Paragraphs>2</Paragraphs>
  <TotalTime>130</TotalTime>
  <ScaleCrop>false</ScaleCrop>
  <LinksUpToDate>false</LinksUpToDate>
  <CharactersWithSpaces>1071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2020-05-15T02:55:00Z</dcterms:created>
  <dc:creator></dc:creator>
  <cp:lastModifiedBy>晓梅</cp:lastModifiedBy>
  <cp:lastPrinted>2020-06-22T07:19:00Z</cp:lastPrinted>
  <dcterms:modified xsi:type="dcterms:W3CDTF">2022-11-04T13:24:34Z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06BA086ECB7A4F98B024516B123FF720</vt:lpwstr>
  </property>
</Properties>
</file>