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p>
    <w:tbl>
      <w:tblPr>
        <w:tblStyle w:val="2"/>
        <w:tblW w:w="9872" w:type="dxa"/>
        <w:jc w:val="center"/>
        <w:tblInd w:w="0" w:type="dxa"/>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Layout w:type="fixed"/>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Layout w:type="fixed"/>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部门（单位）实际在职人数，以财政部门确定的部门决算编制口径为准。</w:t>
            </w:r>
          </w:p>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Layout w:type="fixed"/>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Layout w:type="fixed"/>
          <w:tblCellMar>
            <w:top w:w="0" w:type="dxa"/>
            <w:left w:w="10" w:type="dxa"/>
            <w:bottom w:w="0" w:type="dxa"/>
            <w:right w:w="10" w:type="dxa"/>
          </w:tblCellMar>
        </w:tblPrEx>
        <w:trPr>
          <w:trHeight w:val="126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Layout w:type="fixed"/>
          <w:tblCellMar>
            <w:top w:w="0" w:type="dxa"/>
            <w:left w:w="10" w:type="dxa"/>
            <w:bottom w:w="0" w:type="dxa"/>
            <w:right w:w="10" w:type="dxa"/>
          </w:tblCellMar>
        </w:tblPrEx>
        <w:trPr>
          <w:trHeight w:val="1950"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cs="宋体"/>
                <w:b/>
                <w:bCs/>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r>
              <w:rPr>
                <w:rFonts w:hint="eastAsia" w:cs="宋体"/>
                <w:b/>
                <w:bCs/>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r>
      <w:tr>
        <w:tblPrEx>
          <w:tblLayout w:type="fixed"/>
          <w:tblCellMar>
            <w:top w:w="0" w:type="dxa"/>
            <w:left w:w="10" w:type="dxa"/>
            <w:bottom w:w="0" w:type="dxa"/>
            <w:right w:w="10" w:type="dxa"/>
          </w:tblCellMar>
        </w:tblPrEx>
        <w:trPr>
          <w:trHeight w:val="1702"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新建楼堂馆所面积控 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cs="宋体"/>
                <w:b/>
                <w:bCs/>
                <w:color w:val="000000"/>
                <w:spacing w:val="0"/>
                <w:w w:val="100"/>
                <w:position w:val="0"/>
                <w:sz w:val="18"/>
                <w:szCs w:val="18"/>
                <w:lang w:val="en-US" w:eastAsia="zh-CN"/>
              </w:rPr>
              <w:t>2021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ind w:firstLine="360" w:firstLineChars="200"/>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Layout w:type="fixed"/>
          <w:tblCellMar>
            <w:top w:w="0" w:type="dxa"/>
            <w:left w:w="10" w:type="dxa"/>
            <w:bottom w:w="0" w:type="dxa"/>
            <w:right w:w="10" w:type="dxa"/>
          </w:tblCellMar>
        </w:tblPrEx>
        <w:trPr>
          <w:trHeight w:val="2203" w:hRule="exact"/>
          <w:jc w:val="center"/>
        </w:trPr>
        <w:tc>
          <w:tcPr>
            <w:tcW w:w="349"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w:t>
            </w:r>
            <w:r>
              <w:rPr>
                <w:rFonts w:hint="eastAsia" w:cs="宋体"/>
                <w:color w:val="000000"/>
                <w:spacing w:val="0"/>
                <w:w w:val="100"/>
                <w:position w:val="0"/>
                <w:sz w:val="18"/>
                <w:szCs w:val="18"/>
                <w:lang w:val="en-US" w:eastAsia="zh-CN"/>
              </w:rPr>
              <w:t>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2"/>
        <w:tblW w:w="9771" w:type="dxa"/>
        <w:jc w:val="center"/>
        <w:tblInd w:w="0" w:type="dxa"/>
        <w:tblLayout w:type="fixed"/>
        <w:tblCellMar>
          <w:top w:w="0" w:type="dxa"/>
          <w:left w:w="10" w:type="dxa"/>
          <w:bottom w:w="0" w:type="dxa"/>
          <w:right w:w="10" w:type="dxa"/>
        </w:tblCellMar>
      </w:tblPr>
      <w:tblGrid>
        <w:gridCol w:w="368"/>
        <w:gridCol w:w="524"/>
        <w:gridCol w:w="460"/>
        <w:gridCol w:w="572"/>
        <w:gridCol w:w="916"/>
        <w:gridCol w:w="418"/>
        <w:gridCol w:w="2943"/>
        <w:gridCol w:w="2811"/>
        <w:gridCol w:w="759"/>
      </w:tblGrid>
      <w:tr>
        <w:tblPrEx>
          <w:tblLayout w:type="fixed"/>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59"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Layout w:type="fixed"/>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5"/>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cs="宋体"/>
                <w:b/>
                <w:bCs/>
                <w:color w:val="000000"/>
                <w:spacing w:val="0"/>
                <w:w w:val="100"/>
                <w:position w:val="0"/>
                <w:sz w:val="18"/>
                <w:szCs w:val="18"/>
                <w:lang w:val="en-US" w:eastAsia="zh-CN" w:bidi="en-US"/>
              </w:rPr>
              <w:t>，</w:t>
            </w:r>
          </w:p>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 </w:t>
            </w:r>
          </w:p>
          <w:p>
            <w:pPr>
              <w:widowControl w:val="0"/>
              <w:jc w:val="center"/>
              <w:rPr>
                <w:rFonts w:hint="eastAsia" w:ascii="宋体" w:hAnsi="宋体" w:cs="宋体"/>
                <w:sz w:val="18"/>
                <w:szCs w:val="18"/>
                <w:lang w:val="en-US" w:eastAsia="zh-CN"/>
              </w:rPr>
            </w:pPr>
          </w:p>
          <w:p>
            <w:pPr>
              <w:widowControl w:val="0"/>
              <w:jc w:val="center"/>
              <w:rPr>
                <w:rFonts w:hint="default" w:ascii="宋体" w:hAnsi="宋体" w:cs="宋体"/>
                <w:sz w:val="18"/>
                <w:szCs w:val="18"/>
                <w:lang w:val="en-US" w:eastAsia="zh-CN"/>
              </w:rPr>
            </w:pPr>
            <w:r>
              <w:rPr>
                <w:rFonts w:hint="eastAsia" w:ascii="宋体" w:hAnsi="宋体" w:cs="宋体"/>
                <w:sz w:val="18"/>
                <w:szCs w:val="18"/>
                <w:lang w:val="en-US" w:eastAsia="zh-CN"/>
              </w:rPr>
              <w:t>8</w:t>
            </w:r>
          </w:p>
        </w:tc>
      </w:tr>
      <w:tr>
        <w:tblPrEx>
          <w:tblLayout w:type="fixed"/>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Layout w:type="fixed"/>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Layout w:type="fixed"/>
          <w:tblCellMar>
            <w:top w:w="0" w:type="dxa"/>
            <w:left w:w="10" w:type="dxa"/>
            <w:bottom w:w="0" w:type="dxa"/>
            <w:right w:w="10" w:type="dxa"/>
          </w:tblCellMar>
        </w:tblPrEx>
        <w:trPr>
          <w:trHeight w:val="2112"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有本部门厉行节约制度,2分；</w:t>
            </w:r>
          </w:p>
          <w:p>
            <w:pPr>
              <w:pStyle w:val="5"/>
              <w:keepNext w:val="0"/>
              <w:keepLines w:val="0"/>
              <w:widowControl w:val="0"/>
              <w:shd w:val="clear" w:color="auto" w:fill="auto"/>
              <w:bidi w:val="0"/>
              <w:spacing w:before="0" w:after="0" w:line="307" w:lineRule="exact"/>
              <w:ind w:left="0" w:right="0" w:firstLine="0"/>
              <w:jc w:val="left"/>
              <w:rPr>
                <w:rFonts w:hint="eastAsia" w:cs="宋体"/>
                <w:b w:val="0"/>
                <w:bCs w:val="0"/>
                <w:color w:val="000000"/>
                <w:spacing w:val="0"/>
                <w:w w:val="100"/>
                <w:position w:val="0"/>
                <w:sz w:val="18"/>
                <w:szCs w:val="18"/>
                <w:lang w:val="en-US" w:eastAsia="zh-CN"/>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cs="宋体"/>
                <w:b w:val="0"/>
                <w:bCs w:val="0"/>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相关管理制度得到有效执行，2分。</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Layout w:type="fixed"/>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bottom"/>
          </w:tcPr>
          <w:p>
            <w:pPr>
              <w:pStyle w:val="5"/>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r>
      <w:tr>
        <w:tblPrEx>
          <w:tblLayout w:type="fixed"/>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943" w:type="dxa"/>
            <w:tcBorders>
              <w:top w:val="single" w:color="auto" w:sz="4" w:space="0"/>
              <w:left w:val="single" w:color="auto" w:sz="4" w:space="0"/>
              <w:bottom w:val="single" w:color="auto" w:sz="4" w:space="0"/>
            </w:tcBorders>
            <w:shd w:val="clear" w:color="auto" w:fill="FFFFFF"/>
            <w:noWrap w:val="0"/>
            <w:vAlign w:val="top"/>
          </w:tcPr>
          <w:p>
            <w:pPr>
              <w:pStyle w:val="5"/>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811"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预决算信息是指与部门预算、执行、决算、监督、绩效等管理相关的信息。</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2"/>
        <w:tblW w:w="9771" w:type="dxa"/>
        <w:jc w:val="center"/>
        <w:tblInd w:w="0" w:type="dxa"/>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Layout w:type="fixed"/>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Layout w:type="fixed"/>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Layout w:type="fixed"/>
          <w:tblCellMar>
            <w:top w:w="0" w:type="dxa"/>
            <w:left w:w="10" w:type="dxa"/>
            <w:bottom w:w="0" w:type="dxa"/>
            <w:right w:w="10" w:type="dxa"/>
          </w:tblCellMar>
        </w:tblPrEx>
        <w:trPr>
          <w:trHeight w:val="547"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Layout w:type="fixed"/>
          <w:tblCellMar>
            <w:top w:w="0" w:type="dxa"/>
            <w:left w:w="10" w:type="dxa"/>
            <w:bottom w:w="0" w:type="dxa"/>
            <w:right w:w="10" w:type="dxa"/>
          </w:tblCellMar>
        </w:tblPrEx>
        <w:trPr>
          <w:trHeight w:val="496"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noWrap w:val="0"/>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noWrap w:val="0"/>
            <w:vAlign w:val="top"/>
          </w:tcPr>
          <w:p>
            <w:pPr>
              <w:jc w:val="center"/>
              <w:rPr>
                <w:rFonts w:hint="eastAsia" w:ascii="宋体" w:hAnsi="宋体" w:eastAsia="宋体" w:cs="宋体"/>
                <w:sz w:val="18"/>
                <w:szCs w:val="18"/>
              </w:rPr>
            </w:pPr>
          </w:p>
        </w:tc>
      </w:tr>
      <w:tr>
        <w:tblPrEx>
          <w:tblLayout w:type="fixed"/>
          <w:tblCellMar>
            <w:top w:w="0" w:type="dxa"/>
            <w:left w:w="10" w:type="dxa"/>
            <w:bottom w:w="0" w:type="dxa"/>
            <w:right w:w="10" w:type="dxa"/>
          </w:tblCellMar>
        </w:tblPrEx>
        <w:trPr>
          <w:trHeight w:val="1644"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Layout w:type="fixed"/>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7" w:lineRule="exact"/>
              <w:ind w:left="0" w:right="0" w:firstLine="0"/>
              <w:jc w:val="left"/>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bl>
    <w:p>
      <w:pPr>
        <w:pStyle w:val="4"/>
        <w:keepNext w:val="0"/>
        <w:keepLines w:val="0"/>
        <w:widowControl w:val="0"/>
        <w:shd w:val="clear" w:color="auto" w:fill="auto"/>
        <w:bidi w:val="0"/>
        <w:spacing w:after="420" w:line="240" w:lineRule="auto"/>
        <w:ind w:left="0" w:leftChars="0" w:right="0" w:firstLine="0" w:firstLineChars="0"/>
        <w:jc w:val="center"/>
        <w:rPr>
          <w:rFonts w:hint="eastAsia" w:ascii="宋体" w:hAnsi="宋体" w:eastAsia="宋体" w:cs="宋体"/>
          <w:sz w:val="18"/>
          <w:szCs w:val="18"/>
        </w:rPr>
      </w:pPr>
      <w:r>
        <w:rPr>
          <w:rFonts w:hint="eastAsia" w:ascii="宋体" w:hAnsi="宋体" w:eastAsia="宋体" w:cs="宋体"/>
          <w:sz w:val="18"/>
          <w:szCs w:val="18"/>
        </w:rPr>
        <w:br w:type="page"/>
      </w: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
      <w:pPr>
        <w:pStyle w:val="6"/>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723" w:firstLineChars="200"/>
        <w:jc w:val="center"/>
        <w:textAlignment w:val="auto"/>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pPr>
      <w:bookmarkStart w:id="0" w:name="bookmark90"/>
      <w:bookmarkStart w:id="1" w:name="bookmark89"/>
      <w:bookmarkStart w:id="2" w:name="bookmark88"/>
      <w:r>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t>珠晖区机关事务和接待中心整体支出绩效报告</w:t>
      </w:r>
      <w:bookmarkEnd w:id="0"/>
      <w:bookmarkEnd w:id="1"/>
      <w:bookmarkEnd w:id="2"/>
    </w:p>
    <w:p>
      <w:pPr>
        <w:pStyle w:val="6"/>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723" w:firstLineChars="200"/>
        <w:jc w:val="center"/>
        <w:textAlignment w:val="auto"/>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pPr>
    </w:p>
    <w:p>
      <w:pPr>
        <w:pStyle w:val="7"/>
        <w:keepNext w:val="0"/>
        <w:keepLines w:val="0"/>
        <w:pageBreakBefore w:val="0"/>
        <w:widowControl w:val="0"/>
        <w:numPr>
          <w:ilvl w:val="0"/>
          <w:numId w:val="2"/>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3" w:name="bookmark92"/>
    </w:p>
    <w:bookmarkEnd w:id="3"/>
    <w:p>
      <w:pPr>
        <w:pStyle w:val="7"/>
        <w:keepNext w:val="0"/>
        <w:keepLines w:val="0"/>
        <w:pageBreakBefore w:val="0"/>
        <w:widowControl w:val="0"/>
        <w:numPr>
          <w:ilvl w:val="0"/>
          <w:numId w:val="3"/>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部门基本情况（包括部门的在职人员情况、机构设置、主要职能及重点工作计划等）。</w:t>
      </w:r>
      <w:bookmarkStart w:id="11" w:name="_GoBack"/>
      <w:bookmarkEnd w:id="11"/>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right="0" w:firstLine="928" w:firstLineChars="29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依据中共珠晖区委机构编制委员会的珠编[2019]4号文件精神，核定编制人数9人。区委机关事务和接待中心现在实有在编在岗人员8人，机构设置如下：（1）办公室；（2）公务用车股；（3）机关事务股；（4）公务接待股。</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right="0" w:firstLine="928" w:firstLineChars="29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区委机关事务和接待中心主要职责是：</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r>
        <w:rPr>
          <w:rFonts w:hint="default" w:ascii="仿宋_GB2312" w:hAnsi="仿宋_GB2312" w:eastAsia="仿宋_GB2312" w:cs="仿宋_GB2312"/>
          <w:color w:val="000000"/>
          <w:spacing w:val="0"/>
          <w:w w:val="100"/>
          <w:position w:val="0"/>
          <w:sz w:val="32"/>
          <w:szCs w:val="32"/>
          <w:lang w:val="en-US" w:eastAsia="zh-CN"/>
        </w:rPr>
        <w:t>贯彻国家机关事务工作和后勤体制改革的法律法规、政策规定，结合单位实际，制定并组织实施机关事务服务工作的具体计划、制度和办法。</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r>
        <w:rPr>
          <w:rFonts w:hint="default" w:ascii="仿宋_GB2312" w:hAnsi="仿宋_GB2312" w:eastAsia="仿宋_GB2312" w:cs="仿宋_GB2312"/>
          <w:color w:val="000000"/>
          <w:spacing w:val="0"/>
          <w:w w:val="100"/>
          <w:position w:val="0"/>
          <w:sz w:val="32"/>
          <w:szCs w:val="32"/>
          <w:lang w:val="en-US" w:eastAsia="zh-CN"/>
        </w:rPr>
        <w:t>负责区机关大院的绿化、卫生、环境秩序、物业管理、安全保卫、餐饮服务等后勤服务保障工作。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r>
        <w:rPr>
          <w:rFonts w:hint="default" w:ascii="仿宋_GB2312" w:hAnsi="仿宋_GB2312" w:eastAsia="仿宋_GB2312" w:cs="仿宋_GB2312"/>
          <w:color w:val="000000"/>
          <w:spacing w:val="0"/>
          <w:w w:val="100"/>
          <w:position w:val="0"/>
          <w:sz w:val="32"/>
          <w:szCs w:val="32"/>
          <w:lang w:val="en-US" w:eastAsia="zh-CN"/>
        </w:rPr>
        <w:t>负责申报区机关大院用房及设施的维修、保养项目并组织实施；负责区委区政府大院的大中型技术设备的检测和安全运行管理工作。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w:t>
      </w:r>
      <w:r>
        <w:rPr>
          <w:rFonts w:hint="default" w:ascii="仿宋_GB2312" w:hAnsi="仿宋_GB2312" w:eastAsia="仿宋_GB2312" w:cs="仿宋_GB2312"/>
          <w:color w:val="000000"/>
          <w:spacing w:val="0"/>
          <w:w w:val="100"/>
          <w:position w:val="0"/>
          <w:sz w:val="32"/>
          <w:szCs w:val="32"/>
          <w:lang w:val="en-US" w:eastAsia="zh-CN"/>
        </w:rPr>
        <w:t>协助承办区级重要会议和重大活动的会务、事务工作；负责区机关大院会议场所的管理和事务管理工作。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5、</w:t>
      </w:r>
      <w:r>
        <w:rPr>
          <w:rFonts w:hint="default" w:ascii="仿宋_GB2312" w:hAnsi="仿宋_GB2312" w:eastAsia="仿宋_GB2312" w:cs="仿宋_GB2312"/>
          <w:color w:val="000000"/>
          <w:spacing w:val="0"/>
          <w:w w:val="100"/>
          <w:position w:val="0"/>
          <w:sz w:val="32"/>
          <w:szCs w:val="32"/>
          <w:lang w:val="en-US" w:eastAsia="zh-CN"/>
        </w:rPr>
        <w:t>按规定会同有关部门承担全区公务用车的编制、标准、采购配备、处置及牌证管理工作；推进机关公务用车平台化、标识化、信息化管理；拟订全区公务用车管理相关制度和办法并组织实施；会同有关部门指导机关公务用车管理；负责公务用车安全生产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6、</w:t>
      </w:r>
      <w:r>
        <w:rPr>
          <w:rFonts w:hint="default" w:ascii="仿宋_GB2312" w:hAnsi="仿宋_GB2312" w:eastAsia="仿宋_GB2312" w:cs="仿宋_GB2312"/>
          <w:color w:val="000000"/>
          <w:spacing w:val="0"/>
          <w:w w:val="100"/>
          <w:position w:val="0"/>
          <w:sz w:val="32"/>
          <w:szCs w:val="32"/>
          <w:lang w:val="en-US" w:eastAsia="zh-CN"/>
        </w:rPr>
        <w:t>负责各项公务及商务接待工作。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7、</w:t>
      </w:r>
      <w:r>
        <w:rPr>
          <w:rFonts w:hint="default" w:ascii="仿宋_GB2312" w:hAnsi="仿宋_GB2312" w:eastAsia="仿宋_GB2312" w:cs="仿宋_GB2312"/>
          <w:color w:val="000000"/>
          <w:spacing w:val="0"/>
          <w:w w:val="100"/>
          <w:position w:val="0"/>
          <w:sz w:val="32"/>
          <w:szCs w:val="32"/>
          <w:lang w:val="en-US" w:eastAsia="zh-CN"/>
        </w:rPr>
        <w:t>完成区委、区政府交办的其他任务。</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为确保区委、区政府后勤服务、食堂管理、保洁、安保、公车管理及公务接待等各项工作顺利进行，做到专款专用，保障后勤正常运转。制定各项规章制度及工作措施，得到社会和服务对象的满意。</w:t>
      </w:r>
    </w:p>
    <w:p>
      <w:pPr>
        <w:pStyle w:val="7"/>
        <w:keepNext w:val="0"/>
        <w:keepLines w:val="0"/>
        <w:pageBreakBefore w:val="0"/>
        <w:widowControl w:val="0"/>
        <w:numPr>
          <w:ilvl w:val="0"/>
          <w:numId w:val="3"/>
        </w:numPr>
        <w:shd w:val="clear" w:color="auto" w:fill="auto"/>
        <w:tabs>
          <w:tab w:val="left" w:pos="110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部门整体支出规模、使用方向和主要内容、涉及范围等。</w:t>
      </w:r>
    </w:p>
    <w:p>
      <w:pPr>
        <w:widowControl/>
        <w:numPr>
          <w:ilvl w:val="0"/>
          <w:numId w:val="0"/>
        </w:numPr>
        <w:spacing w:line="600" w:lineRule="exact"/>
        <w:ind w:firstLine="640" w:firstLineChars="200"/>
        <w:jc w:val="left"/>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2021年</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基本支出年初预算数为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230.59</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万元，是指为保障单位机构正常运转、完成日常工作任务而发生的各项支出，包括用于基本工资、津贴补贴、</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社保</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等人员经费以及办公费、印刷费、水电费、办公设备购置等日常公用经费。</w:t>
      </w:r>
    </w:p>
    <w:p>
      <w:pPr>
        <w:pStyle w:val="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20</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21</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年项目支出年初预算数为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599.00</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万元（其中：物业管理经费支出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85</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万元，主要用于区机关安保工作等方面；食堂经费支出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170</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万元，主要用于食堂米、油、菜金、设备设施添置等方面；公务用车经费支出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274</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万元，主要用于车辆用油、保养、维修、司机工资福利等方面；水电及维修经费支出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70</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万元，主要用于机关水电费、水电设施设备维修等方面）。</w:t>
      </w:r>
    </w:p>
    <w:p>
      <w:pPr>
        <w:pStyle w:val="7"/>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after="0" w:line="560" w:lineRule="exact"/>
        <w:ind w:left="0" w:leftChars="0" w:right="0" w:firstLine="320" w:firstLineChars="10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4" w:name="bookmark94"/>
      <w:r>
        <w:rPr>
          <w:rFonts w:hint="eastAsia" w:ascii="仿宋_GB2312" w:hAnsi="仿宋_GB2312" w:eastAsia="仿宋_GB2312" w:cs="仿宋_GB2312"/>
          <w:b/>
          <w:bCs/>
          <w:color w:val="000000"/>
          <w:spacing w:val="0"/>
          <w:w w:val="100"/>
          <w:position w:val="0"/>
          <w:sz w:val="32"/>
          <w:szCs w:val="32"/>
        </w:rPr>
        <w:t>二</w:t>
      </w:r>
      <w:bookmarkEnd w:id="4"/>
      <w:r>
        <w:rPr>
          <w:rFonts w:hint="eastAsia" w:ascii="仿宋_GB2312" w:hAnsi="仿宋_GB2312" w:eastAsia="仿宋_GB2312" w:cs="仿宋_GB2312"/>
          <w:b/>
          <w:bCs/>
          <w:color w:val="000000"/>
          <w:spacing w:val="0"/>
          <w:w w:val="100"/>
          <w:position w:val="0"/>
          <w:sz w:val="32"/>
          <w:szCs w:val="32"/>
        </w:rPr>
        <w:t>、部门整体支出管理及使用情况</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5" w:name="bookmark95"/>
      <w:r>
        <w:rPr>
          <w:rFonts w:hint="eastAsia" w:ascii="仿宋_GB2312" w:hAnsi="仿宋_GB2312" w:eastAsia="仿宋_GB2312" w:cs="仿宋_GB2312"/>
          <w:color w:val="000000"/>
          <w:spacing w:val="0"/>
          <w:w w:val="100"/>
          <w:position w:val="0"/>
          <w:sz w:val="32"/>
          <w:szCs w:val="32"/>
        </w:rPr>
        <w:t>（</w:t>
      </w:r>
      <w:bookmarkEnd w:id="5"/>
      <w:r>
        <w:rPr>
          <w:rFonts w:hint="eastAsia" w:ascii="仿宋_GB2312" w:hAnsi="仿宋_GB2312" w:eastAsia="仿宋_GB2312" w:cs="仿宋_GB2312"/>
          <w:color w:val="000000"/>
          <w:spacing w:val="0"/>
          <w:w w:val="100"/>
          <w:position w:val="0"/>
          <w:sz w:val="32"/>
          <w:szCs w:val="32"/>
        </w:rPr>
        <w:t>一）基本支出</w:t>
      </w:r>
    </w:p>
    <w:p>
      <w:pPr>
        <w:widowControl/>
        <w:spacing w:line="600" w:lineRule="exact"/>
        <w:ind w:firstLine="660"/>
        <w:jc w:val="left"/>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基本支出主要</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为保障单位机构正常运转、完成日常工作任务而发生的各项支出，包括用于基本工资、津贴补贴、</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社保</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等人员经费（</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含临聘人员工资福利</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）以及办公费、印刷费、办公设备购置等日常公用经费；</w:t>
      </w:r>
    </w:p>
    <w:p>
      <w:pPr>
        <w:widowControl/>
        <w:spacing w:line="600" w:lineRule="exact"/>
        <w:ind w:firstLine="660"/>
        <w:jc w:val="left"/>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为确保</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各项资金的使用到位</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制定</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了资金使用管理制度，规范资金的使用范围，必要做到专款专用；</w:t>
      </w:r>
    </w:p>
    <w:p>
      <w:pPr>
        <w:widowControl/>
        <w:spacing w:line="600" w:lineRule="exact"/>
        <w:ind w:firstLine="660"/>
        <w:jc w:val="left"/>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“三公”中“公务用车经费”全年预算274万元，实际支出248.73万元，主要用于公车的燃油、保养、维修及司勤人员工资。“公务接待费”全年预算86.17万元，全年支出86.17万元，与预算持平。</w:t>
      </w:r>
    </w:p>
    <w:p>
      <w:pPr>
        <w:widowControl/>
        <w:spacing w:line="600" w:lineRule="exact"/>
        <w:ind w:firstLine="660"/>
        <w:jc w:val="left"/>
        <w:rPr>
          <w:rFonts w:hint="eastAsia" w:ascii="宋体" w:hAnsi="宋体" w:eastAsia="宋体" w:cs="宋体"/>
          <w:sz w:val="32"/>
          <w:szCs w:val="32"/>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6" w:name="bookmark96"/>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二）项目支出</w:t>
      </w:r>
    </w:p>
    <w:p>
      <w:pPr>
        <w:widowControl/>
        <w:spacing w:line="600" w:lineRule="exact"/>
        <w:ind w:firstLine="660"/>
        <w:jc w:val="left"/>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1、项目资金安排落实、总投入等情况：766.78万元（其中：物业管理费85万元；水电费64.88万元；公务用车经费248.73万元；公务接待费86.17万元；食堂经费200万元；机关维修82万元）</w:t>
      </w:r>
    </w:p>
    <w:p>
      <w:pPr>
        <w:widowControl/>
        <w:spacing w:line="600" w:lineRule="exact"/>
        <w:ind w:firstLine="660"/>
        <w:jc w:val="left"/>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项目资金（主要指财政资金）实际使用情况：物业管理费预算85万元，实际使用85万元；水电费预算70万元，实际使用64.88万元；公务用车经费预算274万元，实际使用248.73万元；公务接待费预算86.17万元，实际使用86.17万元；食堂经费预算170万元，实际使用200万元；机关院内维修实际使用82万元，财政追加。</w:t>
      </w:r>
    </w:p>
    <w:p>
      <w:pPr>
        <w:widowControl/>
        <w:spacing w:line="600" w:lineRule="exact"/>
        <w:ind w:firstLine="660"/>
        <w:jc w:val="left"/>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3、项目资金管理情况：为了规范资金使用及审批流程，我单位制定了《珠晖区区委机关事务和接待中心财务管理制度》。为了预算资金使用效率而制定了物业管理工作措施及考核办法、用水用电工作措施及水电设施维修管理办法、公务用车工作措施及管理办法、公务接待审批流程及管理办法、食堂管理工作措施及食堂资金管理办法。</w:t>
      </w:r>
    </w:p>
    <w:p>
      <w:pPr>
        <w:pStyle w:val="7"/>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7" w:name="bookmark100"/>
      <w:r>
        <w:rPr>
          <w:rFonts w:hint="eastAsia" w:ascii="仿宋_GB2312" w:hAnsi="仿宋_GB2312" w:eastAsia="仿宋_GB2312" w:cs="仿宋_GB2312"/>
          <w:b/>
          <w:bCs/>
          <w:color w:val="000000"/>
          <w:spacing w:val="0"/>
          <w:w w:val="100"/>
          <w:position w:val="0"/>
          <w:sz w:val="32"/>
          <w:szCs w:val="32"/>
        </w:rPr>
        <w:t>三</w:t>
      </w:r>
      <w:bookmarkEnd w:id="7"/>
      <w:r>
        <w:rPr>
          <w:rFonts w:hint="eastAsia" w:ascii="仿宋_GB2312" w:hAnsi="仿宋_GB2312" w:eastAsia="仿宋_GB2312" w:cs="仿宋_GB2312"/>
          <w:b/>
          <w:bCs/>
          <w:color w:val="000000"/>
          <w:spacing w:val="0"/>
          <w:w w:val="100"/>
          <w:position w:val="0"/>
          <w:sz w:val="32"/>
          <w:szCs w:val="32"/>
        </w:rPr>
        <w:t>、部门项目组织实施情况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（一）项目组织情况分析，主要包括项目招投标、调整、竣工验收等情况。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1、公务用车司机实行劳务派遣，公车燃油费实行公开招投标，并签订协议。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2、公务接待费用实行定额预算，按需拨付，控制上限。</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3、物业管理公开招投标，将保安、保洁人员整体进行劳务外包。</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4、食堂材料公开招投标，与中标配送公司签订配送协议。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5、机关维修项目实行先行申报审批，审批通过后按维修金额进行政府采购或者湖南省政府采购电子卖场采购。</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项目管理情况分析，主要包括项目管理制度建设、日常检查监督管理等情况。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为了预算资金使用效率，制定了各项工作措施及管理制度(珠晖区区委机关事务和接待中心财务管理制度；物业管理工作措施及考核办法；用水用电工作措施及水电设施维修管理办法；公务用车工作措施及管理办法；公务接待审批制度及管理办法；食堂管理工作措施及食堂资金管理办法等)。</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200" w:right="0" w:rightChars="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8" w:name="bookmark101"/>
      <w:r>
        <w:rPr>
          <w:rFonts w:hint="eastAsia" w:ascii="仿宋_GB2312" w:hAnsi="仿宋_GB2312" w:eastAsia="仿宋_GB2312" w:cs="仿宋_GB2312"/>
          <w:b/>
          <w:bCs/>
          <w:color w:val="000000"/>
          <w:spacing w:val="0"/>
          <w:w w:val="100"/>
          <w:position w:val="0"/>
          <w:sz w:val="32"/>
          <w:szCs w:val="32"/>
        </w:rPr>
        <w:t>四</w:t>
      </w:r>
      <w:bookmarkEnd w:id="8"/>
      <w:r>
        <w:rPr>
          <w:rFonts w:hint="eastAsia" w:ascii="仿宋_GB2312" w:hAnsi="仿宋_GB2312" w:eastAsia="仿宋_GB2312" w:cs="仿宋_GB2312"/>
          <w:b/>
          <w:bCs/>
          <w:color w:val="000000"/>
          <w:spacing w:val="0"/>
          <w:w w:val="100"/>
          <w:position w:val="0"/>
          <w:sz w:val="32"/>
          <w:szCs w:val="32"/>
        </w:rPr>
        <w:t>、资产管理情况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bookmarkStart w:id="9" w:name="bookmark102"/>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2021年年末，我单位共有固定资产共165件，原值5386457元（其中通用设备86件，原值5172462元；专用设备6件，原值95486元；家具、用具73件，原值118509元）。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我中心制度了固定资产管理办法，规范了固定资产购置、使用、管理及报废流程；明确了岗位职责，由办公室负责固定资产的实物管理，财务负责固定资产的账面管理，做到账实相符。</w:t>
      </w:r>
    </w:p>
    <w:bookmarkEnd w:id="9"/>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bookmarkStart w:id="10" w:name="bookmark103"/>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我单位全年财政预算共计829.59万元，基本支出230.59万元，包括人员经费226.99万、公用经费3.6万元；项目支出599万元，包括物业管理85万元、食堂经费170万元、水电及维修70万元、公务用车经费274万元，具体分析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全年各项支出尽量控制在预算以内，厉行节约。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区政府机关物业管理服务、公车管理及公务接待，做到专款专用，保障后勤正常运转。各项工作均在2021年年底圆满完成。</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物业管理工作到位，节约用水用电，进一步改善食堂伙食，公车服务到位。各项经费到位率百分之百，做到物业管理、水电维修、食堂伙食、公务用车到位均百分之百。</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 xml:space="preserve">确保安保到位，食堂伙食改善，节约用水用电，保障公务用车均为百分之百， 社会公众和服务对象整体满意率百分之九十以上。  </w:t>
      </w:r>
      <w:bookmarkEnd w:id="10"/>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rPr>
        <w:t>存在的主要问题</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1、年初临聘人员工资福利预算不足；</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2、食堂预算经费不足；</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3、无机关维修经费预算。</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1、年初足额预算，以免年底追加预算经费；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2、增加维修费项目年初预算。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0E813F1C"/>
    <w:multiLevelType w:val="singleLevel"/>
    <w:tmpl w:val="0E813F1C"/>
    <w:lvl w:ilvl="0" w:tentative="0">
      <w:start w:val="1"/>
      <w:numFmt w:val="chineseCounting"/>
      <w:suff w:val="nothing"/>
      <w:lvlText w:val="%1、"/>
      <w:lvlJc w:val="left"/>
      <w:rPr>
        <w:rFonts w:hint="eastAsia"/>
      </w:rPr>
    </w:lvl>
  </w:abstractNum>
  <w:abstractNum w:abstractNumId="2">
    <w:nsid w:val="265FFE46"/>
    <w:multiLevelType w:val="singleLevel"/>
    <w:tmpl w:val="265FFE4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s>
  <w:rsids>
    <w:rsidRoot w:val="00000000"/>
    <w:rsid w:val="01917C4D"/>
    <w:rsid w:val="02F943D5"/>
    <w:rsid w:val="06C02DCF"/>
    <w:rsid w:val="087861C8"/>
    <w:rsid w:val="0AF66F62"/>
    <w:rsid w:val="0BB627FF"/>
    <w:rsid w:val="12912C30"/>
    <w:rsid w:val="16C8062E"/>
    <w:rsid w:val="1A780833"/>
    <w:rsid w:val="1E4C05F0"/>
    <w:rsid w:val="1EEF169F"/>
    <w:rsid w:val="23901C62"/>
    <w:rsid w:val="26D76C9F"/>
    <w:rsid w:val="2BAF52DE"/>
    <w:rsid w:val="301A5569"/>
    <w:rsid w:val="30FC4E6B"/>
    <w:rsid w:val="3C482F19"/>
    <w:rsid w:val="3D1745D8"/>
    <w:rsid w:val="3D43528A"/>
    <w:rsid w:val="41645268"/>
    <w:rsid w:val="42DA1A0D"/>
    <w:rsid w:val="441D00E8"/>
    <w:rsid w:val="459F127E"/>
    <w:rsid w:val="4D5E46EE"/>
    <w:rsid w:val="549070B7"/>
    <w:rsid w:val="550032E5"/>
    <w:rsid w:val="5CEE28AA"/>
    <w:rsid w:val="60D10B34"/>
    <w:rsid w:val="6140488E"/>
    <w:rsid w:val="61822BE5"/>
    <w:rsid w:val="6CF52F90"/>
    <w:rsid w:val="6F2F6591"/>
    <w:rsid w:val="712D5989"/>
    <w:rsid w:val="72960EF4"/>
    <w:rsid w:val="762267CC"/>
    <w:rsid w:val="764A754D"/>
    <w:rsid w:val="77946CCE"/>
    <w:rsid w:val="7B1D2BE5"/>
    <w:rsid w:val="7EE7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5">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6">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2022-10-25T09:19:00Z</dcterms:created>
  <dc:creator>Administrator</dc:creator>
  <cp:lastModifiedBy>admin</cp:lastModifiedBy>
  <dcterms:modified xsi:type="dcterms:W3CDTF">2022-10-27T09:20:21Z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y fmtid="{D5CDD505-2E9C-101B-9397-08002B2CF9AE}" pid="3" name="ICV">
    <vt:lpwstr>D0AACCB72E164CC599A7BDAF9AE8E8A7</vt:lpwstr>
  </property>
</Properties>
</file>