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spacing w:after="260"/>
        <w:rPr>
          <w:color w:val="000000"/>
          <w:sz w:val="32"/>
          <w:szCs w:val="32"/>
          <w:lang w:val="en-US"/>
        </w:rPr>
      </w:pPr>
      <w:bookmarkStart w:id="0" w:name="bookmark89"/>
      <w:bookmarkStart w:id="1" w:name="bookmark90"/>
      <w:bookmarkStart w:id="2" w:name="bookmark88"/>
      <w:r>
        <w:rPr>
          <w:rFonts w:hint="eastAsia"/>
          <w:color w:val="000000"/>
          <w:sz w:val="32"/>
          <w:szCs w:val="32"/>
          <w:lang w:val="en-US"/>
        </w:rPr>
        <w:t>珠晖区融媒体中心整体支出绩效报告</w:t>
      </w:r>
      <w:bookmarkEnd w:id="0"/>
      <w:bookmarkEnd w:id="1"/>
      <w:bookmarkEnd w:id="2"/>
    </w:p>
    <w:p>
      <w:pPr>
        <w:pStyle w:val="19"/>
        <w:tabs>
          <w:tab w:val="left" w:pos="867"/>
        </w:tabs>
        <w:spacing w:line="360" w:lineRule="auto"/>
        <w:rPr>
          <w:sz w:val="28"/>
          <w:szCs w:val="28"/>
        </w:rPr>
      </w:pPr>
      <w:r>
        <w:rPr>
          <w:rFonts w:hint="eastAsia"/>
          <w:color w:val="000000"/>
          <w:sz w:val="28"/>
          <w:szCs w:val="28"/>
        </w:rPr>
        <w:t>一、部门概况</w:t>
      </w:r>
    </w:p>
    <w:p>
      <w:pPr>
        <w:pStyle w:val="19"/>
        <w:tabs>
          <w:tab w:val="left" w:pos="1113"/>
        </w:tabs>
        <w:spacing w:line="560" w:lineRule="exact"/>
        <w:ind w:firstLine="500"/>
        <w:rPr>
          <w:rFonts w:ascii="楷体" w:hAnsi="楷体" w:eastAsia="楷体" w:cs="楷体"/>
          <w:b/>
          <w:bCs/>
          <w:color w:val="000000"/>
          <w:sz w:val="32"/>
          <w:szCs w:val="32"/>
        </w:rPr>
      </w:pPr>
      <w:bookmarkStart w:id="3" w:name="bookmark92"/>
      <w:r>
        <w:rPr>
          <w:rFonts w:hint="eastAsia" w:ascii="楷体" w:hAnsi="楷体" w:eastAsia="楷体" w:cs="楷体"/>
          <w:b/>
          <w:bCs/>
          <w:color w:val="000000"/>
          <w:sz w:val="32"/>
          <w:szCs w:val="32"/>
        </w:rPr>
        <w:t>（</w:t>
      </w:r>
      <w:bookmarkEnd w:id="3"/>
      <w:r>
        <w:rPr>
          <w:rFonts w:hint="eastAsia" w:ascii="楷体" w:hAnsi="楷体" w:eastAsia="楷体" w:cs="楷体"/>
          <w:b/>
          <w:bCs/>
          <w:color w:val="000000"/>
          <w:sz w:val="32"/>
          <w:szCs w:val="32"/>
        </w:rPr>
        <w:t>一）部门基本情况</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1.机构设置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根据珠晖区区委编办《关于印&lt;珠晖区融媒体中心机构编制方案&gt;的通知》珠编〔2019〕6号文件规定，区融媒体中心设下列内设机构：办公室、策划编辑室、新闻采访室、编辑制作室。</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2.职能职责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4" w:name="bookmark94"/>
      <w:r>
        <w:rPr>
          <w:rFonts w:hint="eastAsia" w:ascii="仿宋_GB2312" w:hAnsi="仿宋_GB2312" w:eastAsia="仿宋_GB2312" w:cs="仿宋_GB2312"/>
          <w:color w:val="auto"/>
          <w:kern w:val="2"/>
          <w:sz w:val="32"/>
          <w:szCs w:val="32"/>
          <w:lang w:val="en-US" w:eastAsia="zh-CN" w:bidi="ar-SA"/>
        </w:rPr>
        <w:t>根据珠晖区区委编办《关于印&lt;珠晖区融媒体中心机构编制方案&gt;的通知》珠编〔2019〕6号文</w:t>
      </w:r>
      <w:bookmarkStart w:id="9" w:name="_GoBack"/>
      <w:bookmarkEnd w:id="9"/>
      <w:r>
        <w:rPr>
          <w:rFonts w:hint="eastAsia" w:ascii="仿宋_GB2312" w:hAnsi="仿宋_GB2312" w:eastAsia="仿宋_GB2312" w:cs="仿宋_GB2312"/>
          <w:color w:val="auto"/>
          <w:kern w:val="2"/>
          <w:sz w:val="32"/>
          <w:szCs w:val="32"/>
          <w:lang w:val="en-US" w:eastAsia="zh-CN" w:bidi="ar-SA"/>
        </w:rPr>
        <w:t>件规定，主要职责是：负责珠晖区媒体融合发展，搭建党和政府与群众之间便捷高效的沟通交流平台，为全区经济社会健康发展营造良好氛围的工作。</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（二）部门整体支出规模、使用方向和主要内容、涉及范围等</w:t>
      </w:r>
    </w:p>
    <w:p>
      <w:pPr>
        <w:spacing w:line="560" w:lineRule="exact"/>
        <w:ind w:firstLine="645"/>
        <w:rPr>
          <w:rFonts w:ascii="仿宋" w:hAnsi="仿宋" w:eastAsia="仿宋" w:cs="仿宋_GB2312"/>
          <w:kern w:val="0"/>
          <w:sz w:val="32"/>
          <w:szCs w:val="32"/>
        </w:rPr>
      </w:pPr>
      <w:r>
        <w:rPr>
          <w:rFonts w:hint="eastAsia" w:ascii="仿宋" w:hAnsi="仿宋" w:eastAsia="仿宋" w:cs="Times New Roman"/>
          <w:kern w:val="2"/>
          <w:sz w:val="32"/>
          <w:szCs w:val="32"/>
          <w:lang w:val="en-US" w:eastAsia="zh-CN" w:bidi="ar-SA"/>
        </w:rPr>
        <w:t>我单位2021年度收入合计66.12万元，其中：财政拨款收入66.12万元，占100%；2021年度支出合计66.12万元，其中：基本支出66.12万元，占100%。</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w:t>
      </w:r>
      <w:bookmarkEnd w:id="4"/>
      <w:r>
        <w:rPr>
          <w:rFonts w:hint="eastAsia" w:ascii="楷体" w:hAnsi="楷体" w:eastAsia="楷体" w:cs="楷体"/>
          <w:b/>
          <w:bCs/>
          <w:color w:val="000000"/>
          <w:sz w:val="32"/>
          <w:szCs w:val="32"/>
        </w:rPr>
        <w:t>、部门整体支出管理及使用情况</w:t>
      </w:r>
    </w:p>
    <w:p>
      <w:pPr>
        <w:pStyle w:val="19"/>
        <w:tabs>
          <w:tab w:val="left" w:pos="1111"/>
        </w:tabs>
        <w:spacing w:line="560" w:lineRule="exact"/>
        <w:ind w:firstLine="500"/>
        <w:rPr>
          <w:rFonts w:ascii="楷体" w:hAnsi="楷体" w:eastAsia="楷体" w:cs="楷体"/>
          <w:b/>
          <w:bCs/>
          <w:color w:val="000000"/>
          <w:sz w:val="32"/>
          <w:szCs w:val="32"/>
        </w:rPr>
      </w:pPr>
      <w:bookmarkStart w:id="5" w:name="bookmark95"/>
      <w:r>
        <w:rPr>
          <w:rFonts w:hint="eastAsia" w:ascii="楷体" w:hAnsi="楷体" w:eastAsia="楷体" w:cs="楷体"/>
          <w:b/>
          <w:bCs/>
          <w:color w:val="000000"/>
          <w:sz w:val="32"/>
          <w:szCs w:val="32"/>
        </w:rPr>
        <w:t>（</w:t>
      </w:r>
      <w:bookmarkEnd w:id="5"/>
      <w:r>
        <w:rPr>
          <w:rFonts w:hint="eastAsia" w:ascii="楷体" w:hAnsi="楷体" w:eastAsia="楷体" w:cs="楷体"/>
          <w:b/>
          <w:bCs/>
          <w:color w:val="000000"/>
          <w:sz w:val="32"/>
          <w:szCs w:val="32"/>
        </w:rPr>
        <w:t>一）基本支出</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2021</w:t>
      </w:r>
      <w:r>
        <w:rPr>
          <w:rFonts w:ascii="仿宋" w:hAnsi="仿宋" w:eastAsia="仿宋" w:cs="Times New Roman"/>
          <w:sz w:val="32"/>
          <w:szCs w:val="32"/>
          <w:lang w:val="en-US" w:bidi="ar-SA"/>
        </w:rPr>
        <w:t>年度基本支出</w:t>
      </w:r>
      <w:r>
        <w:rPr>
          <w:rFonts w:hint="eastAsia" w:ascii="仿宋" w:hAnsi="仿宋" w:eastAsia="仿宋" w:cs="Times New Roman"/>
          <w:sz w:val="32"/>
          <w:szCs w:val="32"/>
          <w:lang w:val="en-US" w:eastAsia="zh-CN" w:bidi="ar-SA"/>
        </w:rPr>
        <w:t>66.12</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包含</w:t>
      </w:r>
      <w:r>
        <w:rPr>
          <w:rFonts w:ascii="仿宋" w:hAnsi="仿宋" w:eastAsia="仿宋" w:cs="Times New Roman"/>
          <w:sz w:val="32"/>
          <w:szCs w:val="32"/>
          <w:lang w:val="en-US" w:bidi="ar-SA"/>
        </w:rPr>
        <w:t>人员经费支出</w:t>
      </w:r>
      <w:r>
        <w:rPr>
          <w:rFonts w:hint="eastAsia" w:ascii="仿宋" w:hAnsi="仿宋" w:eastAsia="仿宋" w:cs="Times New Roman"/>
          <w:sz w:val="32"/>
          <w:szCs w:val="32"/>
          <w:lang w:val="en-US" w:bidi="ar-SA"/>
        </w:rPr>
        <w:t>、</w:t>
      </w:r>
      <w:r>
        <w:rPr>
          <w:rFonts w:ascii="仿宋" w:hAnsi="仿宋" w:eastAsia="仿宋" w:cs="Times New Roman"/>
          <w:sz w:val="32"/>
          <w:szCs w:val="32"/>
          <w:lang w:val="en-US" w:bidi="ar-SA"/>
        </w:rPr>
        <w:t>对个人和</w:t>
      </w:r>
      <w:r>
        <w:rPr>
          <w:rFonts w:hint="eastAsia" w:ascii="仿宋" w:hAnsi="仿宋" w:eastAsia="仿宋" w:cs="Times New Roman"/>
          <w:sz w:val="32"/>
          <w:szCs w:val="32"/>
          <w:lang w:val="en-US" w:bidi="ar-SA"/>
        </w:rPr>
        <w:t>家庭</w:t>
      </w:r>
      <w:r>
        <w:rPr>
          <w:rFonts w:ascii="仿宋" w:hAnsi="仿宋" w:eastAsia="仿宋" w:cs="Times New Roman"/>
          <w:sz w:val="32"/>
          <w:szCs w:val="32"/>
          <w:lang w:val="en-US" w:bidi="ar-SA"/>
        </w:rPr>
        <w:t>的补助支出、商品和服务支出</w:t>
      </w:r>
      <w:r>
        <w:rPr>
          <w:rFonts w:hint="eastAsia" w:ascii="仿宋" w:hAnsi="仿宋" w:eastAsia="仿宋" w:cs="Times New Roman"/>
          <w:sz w:val="32"/>
          <w:szCs w:val="32"/>
          <w:lang w:val="en-US" w:bidi="ar-SA"/>
        </w:rPr>
        <w:t>。</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2021</w:t>
      </w:r>
      <w:r>
        <w:rPr>
          <w:rFonts w:hint="eastAsia" w:ascii="仿宋" w:hAnsi="仿宋" w:eastAsia="仿宋" w:cs="Times New Roman"/>
          <w:sz w:val="32"/>
          <w:szCs w:val="32"/>
          <w:lang w:val="en-US" w:bidi="ar-SA"/>
        </w:rPr>
        <w:t>年无“三公”经费预算</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万元，其中：</w:t>
      </w:r>
      <w:r>
        <w:rPr>
          <w:rFonts w:ascii="仿宋" w:hAnsi="仿宋" w:eastAsia="仿宋" w:cs="Times New Roman"/>
          <w:sz w:val="32"/>
          <w:szCs w:val="32"/>
          <w:lang w:val="en-US" w:bidi="ar-SA"/>
        </w:rPr>
        <w:t>公务接待费0万元，公务用车购置及运行费</w:t>
      </w:r>
      <w:r>
        <w:rPr>
          <w:rFonts w:hint="eastAsia" w:ascii="仿宋" w:hAnsi="仿宋" w:eastAsia="仿宋" w:cs="Times New Roman"/>
          <w:sz w:val="32"/>
          <w:szCs w:val="32"/>
          <w:lang w:val="en-US" w:eastAsia="zh-CN" w:bidi="ar-SA"/>
        </w:rPr>
        <w:t>0</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pPr>
        <w:pStyle w:val="19"/>
        <w:tabs>
          <w:tab w:val="left" w:pos="1111"/>
        </w:tabs>
        <w:spacing w:line="560" w:lineRule="exact"/>
        <w:ind w:firstLine="500"/>
        <w:rPr>
          <w:rFonts w:ascii="楷体" w:hAnsi="楷体" w:eastAsia="楷体" w:cs="楷体"/>
          <w:b/>
          <w:bCs/>
          <w:color w:val="000000"/>
          <w:sz w:val="32"/>
          <w:szCs w:val="32"/>
        </w:rPr>
      </w:pPr>
      <w:bookmarkStart w:id="6" w:name="bookmark96"/>
      <w:r>
        <w:rPr>
          <w:rFonts w:hint="eastAsia" w:ascii="楷体" w:hAnsi="楷体" w:eastAsia="楷体" w:cs="楷体"/>
          <w:b/>
          <w:bCs/>
          <w:color w:val="000000"/>
          <w:sz w:val="32"/>
          <w:szCs w:val="32"/>
        </w:rPr>
        <w:t>（</w:t>
      </w:r>
      <w:bookmarkEnd w:id="6"/>
      <w:r>
        <w:rPr>
          <w:rFonts w:hint="eastAsia" w:ascii="楷体" w:hAnsi="楷体" w:eastAsia="楷体" w:cs="楷体"/>
          <w:b/>
          <w:bCs/>
          <w:color w:val="000000"/>
          <w:sz w:val="32"/>
          <w:szCs w:val="32"/>
        </w:rPr>
        <w:t>二）项目支出</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2021</w:t>
      </w:r>
      <w:r>
        <w:rPr>
          <w:rFonts w:ascii="仿宋" w:hAnsi="仿宋" w:eastAsia="仿宋" w:cs="Times New Roman"/>
          <w:sz w:val="32"/>
          <w:szCs w:val="32"/>
          <w:lang w:val="en-US" w:bidi="ar-SA"/>
        </w:rPr>
        <w:t>年度</w:t>
      </w:r>
      <w:r>
        <w:rPr>
          <w:rFonts w:hint="eastAsia" w:ascii="仿宋" w:hAnsi="仿宋" w:eastAsia="仿宋" w:cs="Times New Roman"/>
          <w:sz w:val="32"/>
          <w:szCs w:val="32"/>
          <w:lang w:val="en-US" w:bidi="ar-SA"/>
        </w:rPr>
        <w:t>项目</w:t>
      </w:r>
      <w:r>
        <w:rPr>
          <w:rFonts w:ascii="仿宋" w:hAnsi="仿宋" w:eastAsia="仿宋" w:cs="Times New Roman"/>
          <w:sz w:val="32"/>
          <w:szCs w:val="32"/>
          <w:lang w:val="en-US" w:bidi="ar-SA"/>
        </w:rPr>
        <w:t>支出</w:t>
      </w:r>
      <w:r>
        <w:rPr>
          <w:rFonts w:hint="eastAsia" w:ascii="仿宋" w:hAnsi="仿宋" w:eastAsia="仿宋" w:cs="Times New Roman"/>
          <w:sz w:val="32"/>
          <w:szCs w:val="32"/>
          <w:lang w:val="en-US" w:eastAsia="zh-CN" w:bidi="ar-SA"/>
        </w:rPr>
        <w:t>0</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pPr>
        <w:pStyle w:val="19"/>
        <w:spacing w:line="360" w:lineRule="auto"/>
        <w:ind w:firstLine="420"/>
        <w:rPr>
          <w:rFonts w:ascii="楷体" w:hAnsi="楷体" w:eastAsia="楷体" w:cs="楷体"/>
          <w:b/>
          <w:bCs/>
          <w:color w:val="000000"/>
          <w:sz w:val="32"/>
          <w:szCs w:val="32"/>
        </w:rPr>
      </w:pPr>
      <w:r>
        <w:rPr>
          <w:rFonts w:hint="eastAsia" w:ascii="楷体" w:hAnsi="楷体" w:eastAsia="楷体" w:cs="楷体"/>
          <w:b/>
          <w:bCs/>
          <w:color w:val="000000"/>
          <w:sz w:val="32"/>
          <w:szCs w:val="32"/>
        </w:rPr>
        <w:t>三、部门项目组织实施情况</w:t>
      </w:r>
    </w:p>
    <w:p>
      <w:pPr>
        <w:widowControl/>
        <w:spacing w:line="600" w:lineRule="exact"/>
        <w:ind w:firstLine="627" w:firstLineChars="196"/>
        <w:jc w:val="left"/>
        <w:rPr>
          <w:rFonts w:ascii="仿宋" w:hAnsi="仿宋" w:eastAsia="仿宋"/>
          <w:sz w:val="32"/>
          <w:szCs w:val="32"/>
        </w:rPr>
      </w:pPr>
      <w:r>
        <w:rPr>
          <w:rFonts w:hint="eastAsia" w:ascii="仿宋" w:hAnsi="仿宋" w:eastAsia="仿宋" w:cs="仿宋_GB2312"/>
          <w:kern w:val="0"/>
          <w:sz w:val="32"/>
          <w:szCs w:val="32"/>
        </w:rPr>
        <w:t>无建设性项目支出</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四、资产管理情况</w:t>
      </w:r>
    </w:p>
    <w:p>
      <w:pPr>
        <w:pStyle w:val="19"/>
        <w:tabs>
          <w:tab w:val="left" w:pos="1111"/>
        </w:tabs>
        <w:spacing w:line="560" w:lineRule="exact"/>
        <w:ind w:firstLine="500"/>
        <w:rPr>
          <w:rFonts w:hint="eastAsia" w:ascii="仿宋" w:hAnsi="仿宋" w:eastAsia="仿宋" w:cs="Times New Roman"/>
          <w:sz w:val="32"/>
          <w:szCs w:val="32"/>
          <w:lang w:val="en-US" w:bidi="ar-SA"/>
        </w:rPr>
      </w:pPr>
      <w:bookmarkStart w:id="7" w:name="bookmark102"/>
      <w:r>
        <w:rPr>
          <w:rFonts w:hint="eastAsia" w:ascii="仿宋" w:hAnsi="仿宋" w:eastAsia="仿宋" w:cs="Times New Roman"/>
          <w:sz w:val="32"/>
          <w:szCs w:val="32"/>
          <w:lang w:val="en-US" w:bidi="ar-SA"/>
        </w:rPr>
        <w:t>截至</w:t>
      </w:r>
      <w:r>
        <w:rPr>
          <w:rFonts w:hint="eastAsia" w:ascii="仿宋" w:hAnsi="仿宋" w:eastAsia="仿宋" w:cs="Times New Roman"/>
          <w:sz w:val="32"/>
          <w:szCs w:val="32"/>
          <w:lang w:val="en-US" w:eastAsia="zh-CN" w:bidi="ar-SA"/>
        </w:rPr>
        <w:t>2021</w:t>
      </w:r>
      <w:r>
        <w:rPr>
          <w:rFonts w:hint="eastAsia" w:ascii="仿宋" w:hAnsi="仿宋" w:eastAsia="仿宋" w:cs="Times New Roman"/>
          <w:sz w:val="32"/>
          <w:szCs w:val="32"/>
          <w:lang w:val="en-US" w:bidi="ar-SA"/>
        </w:rPr>
        <w:t>年12月31日，珠晖区融媒体中心共有车辆</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辆（台），其中：副部（省）级及以上领导用车0辆、主要领导干部用车0辆、机要通信用车0辆、应急保障用车0辆、执法执勤用车0辆、特种专业技术用车0辆、其他用车</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辆，其他用车主要是应急车辆；单价50万元（含）以上通用设备0台（套），单价100万元（含）以上专用设备0台（套）。</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五</w:t>
      </w:r>
      <w:bookmarkEnd w:id="7"/>
      <w:r>
        <w:rPr>
          <w:rFonts w:hint="eastAsia" w:ascii="楷体" w:hAnsi="楷体" w:eastAsia="楷体" w:cs="楷体"/>
          <w:b/>
          <w:bCs/>
          <w:color w:val="000000"/>
          <w:sz w:val="32"/>
          <w:szCs w:val="32"/>
        </w:rPr>
        <w:t>、部门整体支出绩效情况</w:t>
      </w:r>
    </w:p>
    <w:p>
      <w:pPr>
        <w:spacing w:line="560" w:lineRule="exact"/>
        <w:ind w:firstLine="640" w:firstLineChars="200"/>
        <w:rPr>
          <w:rFonts w:ascii="仿宋" w:hAnsi="仿宋" w:eastAsia="仿宋" w:cs="仿宋_GB2312"/>
          <w:kern w:val="0"/>
          <w:sz w:val="32"/>
          <w:szCs w:val="32"/>
        </w:rPr>
      </w:pPr>
      <w:bookmarkStart w:id="8" w:name="bookmark103"/>
      <w:r>
        <w:rPr>
          <w:rFonts w:hint="eastAsia" w:ascii="仿宋" w:hAnsi="仿宋" w:eastAsia="仿宋" w:cs="仿宋_GB2312"/>
          <w:kern w:val="0"/>
          <w:sz w:val="32"/>
          <w:szCs w:val="32"/>
        </w:rPr>
        <w:t>职能整合、权责离合、人员磨合，全市管理工作在改革中摸索、在摸索中前进；加强了管理力量，努力夯实了管理和安全生产的工作基础；与水利、民政、林业、自然资源等部门加强了沟通对接，调整了防汛、减灾委，进一步理顺部门职责职能，逐步建立起高效快捷应急反应机制。</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绩效评分97分，绩效评价为优。</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六</w:t>
      </w:r>
      <w:bookmarkEnd w:id="8"/>
      <w:r>
        <w:rPr>
          <w:rFonts w:hint="eastAsia" w:ascii="楷体" w:hAnsi="楷体" w:eastAsia="楷体" w:cs="楷体"/>
          <w:b/>
          <w:bCs/>
          <w:color w:val="000000"/>
          <w:sz w:val="32"/>
          <w:szCs w:val="32"/>
        </w:rPr>
        <w:t>、存在的主要问题</w:t>
      </w:r>
    </w:p>
    <w:p>
      <w:pPr>
        <w:pStyle w:val="19"/>
        <w:tabs>
          <w:tab w:val="left" w:pos="1111"/>
        </w:tabs>
        <w:spacing w:line="560" w:lineRule="exact"/>
        <w:ind w:firstLine="500"/>
        <w:rPr>
          <w:rFonts w:ascii="仿宋" w:hAnsi="仿宋" w:eastAsia="仿宋" w:cs="仿宋_GB2312"/>
          <w:kern w:val="0"/>
          <w:sz w:val="32"/>
          <w:szCs w:val="32"/>
        </w:rPr>
      </w:pPr>
      <w:r>
        <w:rPr>
          <w:rFonts w:hint="eastAsia" w:ascii="仿宋" w:hAnsi="仿宋" w:eastAsia="仿宋" w:cs="仿宋_GB2312"/>
          <w:kern w:val="0"/>
          <w:sz w:val="32"/>
          <w:szCs w:val="32"/>
        </w:rPr>
        <w:t>部门整体预算的编制、执行和管理过程以及职能发挥和履职效益基本支出经费预算完成率和预算控制率均较好，项目收支中部分项目因受机构改革等因素影响，造成指标下达时间较晚，导致资金未能及时使用。</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七、改进措施和有关建议</w:t>
      </w:r>
    </w:p>
    <w:p>
      <w:pPr>
        <w:pStyle w:val="19"/>
        <w:tabs>
          <w:tab w:val="left" w:pos="1111"/>
        </w:tabs>
        <w:spacing w:line="560" w:lineRule="exact"/>
        <w:ind w:firstLine="500"/>
        <w:rPr>
          <w:rFonts w:ascii="仿宋" w:hAnsi="仿宋" w:eastAsia="仿宋" w:cs="仿宋_GB2312"/>
          <w:kern w:val="0"/>
          <w:sz w:val="32"/>
          <w:szCs w:val="32"/>
          <w:lang w:val="en-US" w:bidi="ar-SA"/>
        </w:rPr>
      </w:pPr>
      <w:r>
        <w:rPr>
          <w:rFonts w:hint="eastAsia" w:ascii="仿宋" w:hAnsi="仿宋" w:eastAsia="仿宋" w:cs="仿宋_GB2312"/>
          <w:kern w:val="0"/>
          <w:sz w:val="32"/>
          <w:szCs w:val="32"/>
          <w:lang w:val="en-US" w:bidi="ar-SA"/>
        </w:rPr>
        <w:t>持续推进预算编制科学化； 持续加强预算执行规范化；持续加强财务管理制度。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DkzZDAwMWJhYmU5ZmQ3M2E3YjVkZjFkYWJlMzEifQ=="/>
  </w:docVars>
  <w:rsids>
    <w:rsidRoot w:val="56C81120"/>
    <w:rsid w:val="000031FE"/>
    <w:rsid w:val="00037D5D"/>
    <w:rsid w:val="00056511"/>
    <w:rsid w:val="00067746"/>
    <w:rsid w:val="00123E0D"/>
    <w:rsid w:val="0017144C"/>
    <w:rsid w:val="00182B1B"/>
    <w:rsid w:val="001A6AE7"/>
    <w:rsid w:val="001C10F5"/>
    <w:rsid w:val="001F5066"/>
    <w:rsid w:val="00222E10"/>
    <w:rsid w:val="0023253C"/>
    <w:rsid w:val="00242835"/>
    <w:rsid w:val="00257DC6"/>
    <w:rsid w:val="00275D40"/>
    <w:rsid w:val="00283BC3"/>
    <w:rsid w:val="00294570"/>
    <w:rsid w:val="002A34CA"/>
    <w:rsid w:val="002D47D4"/>
    <w:rsid w:val="00382831"/>
    <w:rsid w:val="00393212"/>
    <w:rsid w:val="003A0DB8"/>
    <w:rsid w:val="003E1F65"/>
    <w:rsid w:val="004060B6"/>
    <w:rsid w:val="00485A46"/>
    <w:rsid w:val="00486E0A"/>
    <w:rsid w:val="004948BF"/>
    <w:rsid w:val="0050463A"/>
    <w:rsid w:val="0051580B"/>
    <w:rsid w:val="00525983"/>
    <w:rsid w:val="00570BA0"/>
    <w:rsid w:val="005854F4"/>
    <w:rsid w:val="00586A64"/>
    <w:rsid w:val="005E4D5E"/>
    <w:rsid w:val="005F5534"/>
    <w:rsid w:val="00611A0A"/>
    <w:rsid w:val="00634EA3"/>
    <w:rsid w:val="00657862"/>
    <w:rsid w:val="00660183"/>
    <w:rsid w:val="006A2690"/>
    <w:rsid w:val="006B0198"/>
    <w:rsid w:val="00782824"/>
    <w:rsid w:val="007D08E9"/>
    <w:rsid w:val="007D531F"/>
    <w:rsid w:val="00835B6B"/>
    <w:rsid w:val="00943F10"/>
    <w:rsid w:val="009553AC"/>
    <w:rsid w:val="00997535"/>
    <w:rsid w:val="009D2052"/>
    <w:rsid w:val="00A035FB"/>
    <w:rsid w:val="00B22A6D"/>
    <w:rsid w:val="00B7473F"/>
    <w:rsid w:val="00BB39D4"/>
    <w:rsid w:val="00C03067"/>
    <w:rsid w:val="00C24AB8"/>
    <w:rsid w:val="00CE5ECA"/>
    <w:rsid w:val="00CE70D2"/>
    <w:rsid w:val="00D304B0"/>
    <w:rsid w:val="00DA1532"/>
    <w:rsid w:val="00DB16B9"/>
    <w:rsid w:val="00DC3293"/>
    <w:rsid w:val="00E330C6"/>
    <w:rsid w:val="00E772E9"/>
    <w:rsid w:val="00ED488E"/>
    <w:rsid w:val="00ED5D4D"/>
    <w:rsid w:val="00EE7503"/>
    <w:rsid w:val="00F25C94"/>
    <w:rsid w:val="00F50A30"/>
    <w:rsid w:val="00F62DAE"/>
    <w:rsid w:val="00F74595"/>
    <w:rsid w:val="02312FDE"/>
    <w:rsid w:val="029744D0"/>
    <w:rsid w:val="030A3C3B"/>
    <w:rsid w:val="03737E75"/>
    <w:rsid w:val="07853A0B"/>
    <w:rsid w:val="0C505A2A"/>
    <w:rsid w:val="0D4E4030"/>
    <w:rsid w:val="0F3C6536"/>
    <w:rsid w:val="111D7620"/>
    <w:rsid w:val="12E6658F"/>
    <w:rsid w:val="15224E9F"/>
    <w:rsid w:val="1806680E"/>
    <w:rsid w:val="1810076A"/>
    <w:rsid w:val="1A1C4F3B"/>
    <w:rsid w:val="1CB55F50"/>
    <w:rsid w:val="1F6E185C"/>
    <w:rsid w:val="1F7E147F"/>
    <w:rsid w:val="205265F0"/>
    <w:rsid w:val="205438DB"/>
    <w:rsid w:val="21B019C0"/>
    <w:rsid w:val="236639AE"/>
    <w:rsid w:val="281A0EAC"/>
    <w:rsid w:val="28E26A4A"/>
    <w:rsid w:val="290A0FAD"/>
    <w:rsid w:val="29716BC5"/>
    <w:rsid w:val="2C8F18D7"/>
    <w:rsid w:val="33341AE4"/>
    <w:rsid w:val="33A969D6"/>
    <w:rsid w:val="33B015AE"/>
    <w:rsid w:val="3BDB363C"/>
    <w:rsid w:val="3BE645DA"/>
    <w:rsid w:val="3F577654"/>
    <w:rsid w:val="40B95CD0"/>
    <w:rsid w:val="423B1DB6"/>
    <w:rsid w:val="4286658F"/>
    <w:rsid w:val="42C22095"/>
    <w:rsid w:val="43472A5E"/>
    <w:rsid w:val="43570F87"/>
    <w:rsid w:val="4999703E"/>
    <w:rsid w:val="4D301426"/>
    <w:rsid w:val="4D460B9E"/>
    <w:rsid w:val="4D625F91"/>
    <w:rsid w:val="527541A2"/>
    <w:rsid w:val="52E51199"/>
    <w:rsid w:val="54365D91"/>
    <w:rsid w:val="56C81120"/>
    <w:rsid w:val="56F073BC"/>
    <w:rsid w:val="596706EB"/>
    <w:rsid w:val="59D13ABB"/>
    <w:rsid w:val="5A387BCA"/>
    <w:rsid w:val="5B8E7E9F"/>
    <w:rsid w:val="5F9423E7"/>
    <w:rsid w:val="62513BD9"/>
    <w:rsid w:val="627B59FE"/>
    <w:rsid w:val="63F654F1"/>
    <w:rsid w:val="66E27882"/>
    <w:rsid w:val="688268EC"/>
    <w:rsid w:val="6D094C10"/>
    <w:rsid w:val="70A215E7"/>
    <w:rsid w:val="71243E51"/>
    <w:rsid w:val="71282C3F"/>
    <w:rsid w:val="74FA07B0"/>
    <w:rsid w:val="75C57ABA"/>
    <w:rsid w:val="767F4FDB"/>
    <w:rsid w:val="78DD78FF"/>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字符"/>
    <w:basedOn w:val="6"/>
    <w:link w:val="3"/>
    <w:qFormat/>
    <w:uiPriority w:val="0"/>
    <w:rPr>
      <w:rFonts w:ascii="Calibri" w:hAnsi="Calibri"/>
      <w:kern w:val="2"/>
      <w:sz w:val="18"/>
      <w:szCs w:val="18"/>
    </w:rPr>
  </w:style>
  <w:style w:type="paragraph" w:styleId="29">
    <w:name w:val="List Paragraph"/>
    <w:basedOn w:val="1"/>
    <w:unhideWhenUsed/>
    <w:qFormat/>
    <w:uiPriority w:val="99"/>
    <w:pPr>
      <w:ind w:firstLine="420" w:firstLineChars="200"/>
    </w:pPr>
  </w:style>
  <w:style w:type="character" w:customStyle="1" w:styleId="30">
    <w:name w:val="peoplefillin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971</Characters>
  <Lines>19</Lines>
  <Paragraphs>5</Paragraphs>
  <TotalTime>2</TotalTime>
  <ScaleCrop>false</ScaleCrop>
  <LinksUpToDate>false</LinksUpToDate>
  <CharactersWithSpaces>972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TB</cp:lastModifiedBy>
  <cp:lastPrinted>2020-05-18T02:11:00Z</cp:lastPrinted>
  <dcterms:modified xsi:type="dcterms:W3CDTF">2022-12-14T02:26:12Z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8CEAFFE6CA6D4FF19AF10CBBF244A2D4</vt:lpwstr>
  </property>
</Properties>
</file>