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/>
        <w:keepLines/>
        <w:spacing w:after="260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/>
        </w:rPr>
      </w:pPr>
      <w:bookmarkStart w:id="0" w:name="bookmark89"/>
      <w:bookmarkStart w:id="1" w:name="bookmark90"/>
      <w:bookmarkStart w:id="2" w:name="bookmark88"/>
      <w:bookmarkStart w:id="3" w:name="bookmark91"/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/>
        </w:rPr>
        <w:t>珠晖区信访局部门整体支出绩效报告</w:t>
      </w:r>
      <w:bookmarkEnd w:id="0"/>
      <w:bookmarkEnd w:id="1"/>
      <w:bookmarkEnd w:id="2"/>
    </w:p>
    <w:p>
      <w:pPr>
        <w:pStyle w:val="18"/>
        <w:tabs>
          <w:tab w:val="left" w:pos="867"/>
        </w:tabs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</w:t>
      </w:r>
      <w:bookmarkEnd w:id="3"/>
      <w:r>
        <w:rPr>
          <w:rFonts w:hint="eastAsia" w:ascii="黑体" w:hAnsi="黑体" w:eastAsia="黑体" w:cs="黑体"/>
          <w:color w:val="000000"/>
          <w:sz w:val="32"/>
          <w:szCs w:val="32"/>
        </w:rPr>
        <w:t>、部门概况</w:t>
      </w:r>
    </w:p>
    <w:p>
      <w:pPr>
        <w:pStyle w:val="18"/>
        <w:tabs>
          <w:tab w:val="left" w:pos="1113"/>
        </w:tabs>
        <w:spacing w:line="360" w:lineRule="auto"/>
        <w:ind w:firstLine="500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bookmarkStart w:id="4" w:name="bookmark92"/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</w:t>
      </w:r>
      <w:bookmarkEnd w:id="4"/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一）部门基本情况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1.机构设置</w:t>
      </w:r>
    </w:p>
    <w:p>
      <w:pPr>
        <w:ind w:firstLine="640" w:firstLineChars="200"/>
        <w:rPr>
          <w:rFonts w:hint="default" w:ascii="华文仿宋" w:hAnsi="华文仿宋" w:eastAsia="仿宋" w:cs="华文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珠晖区信访局下设: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办公室、</w:t>
      </w:r>
      <w:r>
        <w:rPr>
          <w:rFonts w:hint="eastAsia" w:ascii="仿宋" w:hAnsi="仿宋" w:eastAsia="仿宋" w:cs="仿宋"/>
          <w:sz w:val="32"/>
          <w:szCs w:val="32"/>
        </w:rPr>
        <w:t>复查复核督查室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接访办信网信室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区信访局行政编制3名，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全额事业编制5名，2021年年末在职在编人数共7名。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决算单位构成: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下属机构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珠晖区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人民来访接待中心。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2.职能职责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)贯彻执行中央和省颁发的各项信访工作法律、法规及规章制度，并拟订实施意见。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(二)负责受理、交办、转送信访人向区委、区政府及领导同志提出的信访事项。负责做好区委、区政府领导同志接待上访群众的组织服务工作。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承办中央和国家机关、省委省政府、市委市政府及区委区政府交办的信访事项，督促检查领导同志有关信访批示件的落实情况。向区直部门和街道乡镇(场)交办信访事项，督促检查信访事项的处理和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(四)综合反映群众信访中的重要情况和带政策性、倾向性、苗头性问题，研究、统计、分析信访情况、及时向区委、区政府提出完善政策和改进工作的建议。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(五)协同有关部门处理跨地区、跨部门的重要信访问题。协调处理群众到市赴省进京上访和异常、突发性信访事项。协调指导全区各级党政机关的信访工作。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(六)承担区信工作联席会议的日常工作，督促落实联席会议决定的事项。承担区政府信访事项复查复核办公室的日常工作，负责区政府信访事项的复查复核工作。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(七)开展信访工作宣传和理论研讨，总结推广信访工作经验，提出改进和加强信访工作的建议。对全区各级党政机关的信访工作进行指导、督促、协调、检查、考核。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(八)负责全区网上投诉处理工作。指导全区信访信息系统建设和应用，指导信访部门办公自动化建设。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(九)掌握全区信访工作队伍建设情况，提出加强信访队伍建设措施。对信访工作中失职、渎职行为提出处理建议。组织信访干部培训。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(十)完成区委、区政府及区委办、区政府办室交办的其他任务。</w:t>
      </w:r>
    </w:p>
    <w:p>
      <w:pPr>
        <w:pStyle w:val="18"/>
        <w:tabs>
          <w:tab w:val="left" w:pos="1113"/>
        </w:tabs>
        <w:spacing w:line="360" w:lineRule="auto"/>
        <w:ind w:firstLine="50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bidi="ar-SA"/>
        </w:rPr>
        <w:t>3.重点工作计划。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全区的信访工作在区委、区政府的正确领导下，在市信访局的精心指导下，通过抓实矛盾排查，区级领导值班接访包案、信访积案百日攻坚、“三无创建”、重点人员稳控、依法打击信访违法行为、网信办信业务等重点工作，按照“三到位一处理”的原则有效化解了一大批信访矛盾纠纷，确保了我区在全国“两会”、建党“一百周年”等特护期间信访维稳工作平稳有序。</w:t>
      </w:r>
    </w:p>
    <w:p>
      <w:pPr>
        <w:pStyle w:val="18"/>
        <w:tabs>
          <w:tab w:val="left" w:pos="1113"/>
        </w:tabs>
        <w:spacing w:line="360" w:lineRule="auto"/>
        <w:ind w:firstLine="500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/>
        </w:rPr>
        <w:t>二）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部门整体支出规模、使用方向和主要内容、涉及范围等。</w:t>
      </w:r>
    </w:p>
    <w:p>
      <w:pPr>
        <w:ind w:firstLine="1120" w:firstLineChars="350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2021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度收入总计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483.97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万元，其中财政拨款收入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395.87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万元，占本年收入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81.79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%；其他收入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88.1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万元，占本年收入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18.21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%。本年支出总计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535.17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万元，其中：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财政拨款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447.62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万元，占本年支出的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83.64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%；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其他资金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87.55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万元，占本年支出的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16.36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%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。</w:t>
      </w:r>
    </w:p>
    <w:p>
      <w:pPr>
        <w:pStyle w:val="18"/>
        <w:tabs>
          <w:tab w:val="left" w:pos="867"/>
        </w:tabs>
        <w:spacing w:line="360" w:lineRule="auto"/>
        <w:rPr>
          <w:rFonts w:ascii="Calibri" w:hAnsi="Calibri" w:eastAsia="仿宋_GB2312" w:cs="Times New Roman"/>
          <w:b/>
          <w:bCs/>
          <w:sz w:val="28"/>
          <w:szCs w:val="28"/>
          <w:lang w:val="en-US" w:bidi="ar-SA"/>
        </w:rPr>
      </w:pPr>
      <w:r>
        <w:rPr>
          <w:rFonts w:hint="eastAsia" w:ascii="Calibri" w:hAnsi="Calibri" w:eastAsia="仿宋_GB2312" w:cs="Times New Roman"/>
          <w:b/>
          <w:bCs/>
          <w:sz w:val="28"/>
          <w:szCs w:val="28"/>
          <w:lang w:val="en-US" w:bidi="ar-SA"/>
        </w:rPr>
        <w:t>二、部门整体支出管理及使用情况</w:t>
      </w:r>
    </w:p>
    <w:p>
      <w:pPr>
        <w:ind w:firstLine="645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（一）基本支出</w:t>
      </w:r>
    </w:p>
    <w:p>
      <w:pPr>
        <w:ind w:firstLine="1120" w:firstLineChars="350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2021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年度基本支出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356.19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包含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人员经费支出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、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公用支出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、对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个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人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和家庭的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补助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。</w:t>
      </w:r>
    </w:p>
    <w:p>
      <w:pPr>
        <w:ind w:firstLine="645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“三公”经费支出为零。</w:t>
      </w:r>
    </w:p>
    <w:p>
      <w:pPr>
        <w:widowControl/>
        <w:spacing w:line="60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（二）项目支出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2021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项目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84.29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万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元，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用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于信访救助等支出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三、部门项目组织实施情况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信访局无建设性项目支出</w:t>
      </w:r>
    </w:p>
    <w:p>
      <w:pPr>
        <w:widowControl/>
        <w:spacing w:line="60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四、资产管理情况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截至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2021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年12月31日，本单位共有车辆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辆，其中，领导干部用车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辆、机要通信用车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辆、应急保障用车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辆、执法执勤用车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辆、特种专业技术用车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辆，其他用车主要是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无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；单位价值50万元以上通用设备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台（套）；单位价值100万元以上专用设备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台（套）。</w:t>
      </w:r>
    </w:p>
    <w:p>
      <w:pPr>
        <w:widowControl/>
        <w:spacing w:line="60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五、部门整体支出绩效情况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1.执行了预算政策要求。区信访局工作经费安排严格按照年初预算来执行，有效防止了超预算；认真学习财经法规，严格执行财经纪律，防止了违法违纪行为的发生。2.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保障了机关有效运转。严格按照厉行节约的要求，精打细算，规范机关事务管理工作，提高服务质量，降低运行成本，合理配置，提高保障能力。</w:t>
      </w:r>
    </w:p>
    <w:p>
      <w:pPr>
        <w:widowControl/>
        <w:spacing w:line="60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六、存在的主要问题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1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、业务经费年初预算安排不足。由于预算安排不足，缺口资金只能调剂其他资金使用。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2、年初预算编制不够精细。预算编制不够明确和细化，预算编制的合理性需要提高。</w:t>
      </w:r>
    </w:p>
    <w:p>
      <w:pPr>
        <w:widowControl/>
        <w:spacing w:line="60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七、改进措施和有关建议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建立长效机制，把绩效评价作为本局的日常性工作，建立绩效评价管理工作考核的长效机制。</w:t>
      </w:r>
    </w:p>
    <w:p>
      <w:pPr>
        <w:pStyle w:val="2"/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pStyle w:val="2"/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pStyle w:val="2"/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 xml:space="preserve">                                  </w:t>
      </w:r>
      <w:bookmarkStart w:id="5" w:name="_GoBack"/>
      <w:bookmarkEnd w:id="5"/>
    </w:p>
    <w:p>
      <w:pPr>
        <w:spacing w:line="1" w:lineRule="exact"/>
        <w:rPr>
          <w:rFonts w:ascii="宋体" w:hAnsi="宋体" w:cs="宋体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383" w:right="1701" w:bottom="127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0" o:spid="_x0000_s4098" o:spt="202" type="#_x0000_t202" style="position:absolute;left:0pt;margin-left:79.6pt;margin-top:766.25pt;height:8.4pt;width:47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4wtzDYAAAADQEAAA8AAAAAAAAAAQAgAAAAIgAAAGRycy9kb3ducmV2LnhtbFBLAQIU&#10;ABQAAAAIAIdO4kAtT8IzugEAAJcDAAAOAAAAAAAAAAEAIAAAACcBAABkcnMvZTJvRG9jLnhtbFBL&#10;BQYAAAAABgAGAFkBAABT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4"/>
                  <w:jc w:val="left"/>
                  <w:rPr>
                    <w:sz w:val="24"/>
                    <w:szCs w:val="24"/>
                  </w:rPr>
                </w:pPr>
                <w:r>
                  <w:rPr>
                    <w:rFonts w:ascii="Courier New" w:hAnsi="Courier New" w:eastAsia="Courier New" w:cs="Courier New"/>
                    <w:color w:val="000000"/>
                    <w:sz w:val="24"/>
                    <w:szCs w:val="24"/>
                    <w:lang w:val="en-US" w:eastAsia="en-US" w:bidi="en-US"/>
                  </w:rPr>
                  <w:t>—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Courier New" w:hAnsi="Courier New" w:eastAsia="Courier New" w:cs="Courier New"/>
                    <w:color w:val="000000"/>
                    <w:sz w:val="24"/>
                    <w:szCs w:val="24"/>
                  </w:rPr>
                  <w:t>#</w:t>
                </w:r>
                <w:r>
                  <w:rPr>
                    <w:rFonts w:ascii="Courier New" w:hAnsi="Courier New" w:eastAsia="Courier New" w:cs="Courier New"/>
                    <w:color w:val="000000"/>
                    <w:sz w:val="24"/>
                    <w:szCs w:val="24"/>
                  </w:rPr>
                  <w:fldChar w:fldCharType="end"/>
                </w:r>
                <w:r>
                  <w:rPr>
                    <w:rFonts w:ascii="Courier New" w:hAnsi="Courier New" w:eastAsia="Courier New" w:cs="Courier New"/>
                    <w:color w:val="000000"/>
                    <w:sz w:val="24"/>
                    <w:szCs w:val="24"/>
                    <w:lang w:val="en-US" w:eastAsia="en-US" w:bidi="en-US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UwYTQwZjA1MjgyNjQ0M2JjYTNlYWY2MzlkYzdmYjIifQ=="/>
  </w:docVars>
  <w:rsids>
    <w:rsidRoot w:val="56C81120"/>
    <w:rsid w:val="00024096"/>
    <w:rsid w:val="00053770"/>
    <w:rsid w:val="0006732F"/>
    <w:rsid w:val="000E0B88"/>
    <w:rsid w:val="000E2572"/>
    <w:rsid w:val="00236F08"/>
    <w:rsid w:val="002F56E3"/>
    <w:rsid w:val="003256AB"/>
    <w:rsid w:val="00394F14"/>
    <w:rsid w:val="003D0591"/>
    <w:rsid w:val="003D14D9"/>
    <w:rsid w:val="00425D76"/>
    <w:rsid w:val="004A6213"/>
    <w:rsid w:val="004D375B"/>
    <w:rsid w:val="00511A1F"/>
    <w:rsid w:val="00520470"/>
    <w:rsid w:val="00571E6B"/>
    <w:rsid w:val="005A3E08"/>
    <w:rsid w:val="005B2E8E"/>
    <w:rsid w:val="0068178F"/>
    <w:rsid w:val="00684F93"/>
    <w:rsid w:val="006B2190"/>
    <w:rsid w:val="006B41B1"/>
    <w:rsid w:val="0070013F"/>
    <w:rsid w:val="007463FE"/>
    <w:rsid w:val="00796827"/>
    <w:rsid w:val="008823C6"/>
    <w:rsid w:val="00976964"/>
    <w:rsid w:val="00980AB9"/>
    <w:rsid w:val="009B13AB"/>
    <w:rsid w:val="009C20E6"/>
    <w:rsid w:val="009F58BA"/>
    <w:rsid w:val="00A750E9"/>
    <w:rsid w:val="00A81481"/>
    <w:rsid w:val="00AE3025"/>
    <w:rsid w:val="00B14A5B"/>
    <w:rsid w:val="00B97A81"/>
    <w:rsid w:val="00BB2492"/>
    <w:rsid w:val="00C66349"/>
    <w:rsid w:val="00C9786B"/>
    <w:rsid w:val="00CA7551"/>
    <w:rsid w:val="00CB449A"/>
    <w:rsid w:val="00CC5E81"/>
    <w:rsid w:val="00CD022B"/>
    <w:rsid w:val="00CD71DD"/>
    <w:rsid w:val="00CF7D17"/>
    <w:rsid w:val="00DA5376"/>
    <w:rsid w:val="00E14384"/>
    <w:rsid w:val="00EB5A6C"/>
    <w:rsid w:val="00EC1026"/>
    <w:rsid w:val="00EF5AC8"/>
    <w:rsid w:val="00F11691"/>
    <w:rsid w:val="00F36A18"/>
    <w:rsid w:val="00FD5319"/>
    <w:rsid w:val="02312FDE"/>
    <w:rsid w:val="030A3C3B"/>
    <w:rsid w:val="03737E75"/>
    <w:rsid w:val="07BF3E8E"/>
    <w:rsid w:val="0850536B"/>
    <w:rsid w:val="086A11F4"/>
    <w:rsid w:val="0C505A2A"/>
    <w:rsid w:val="0D0C314C"/>
    <w:rsid w:val="0D540070"/>
    <w:rsid w:val="0D62788D"/>
    <w:rsid w:val="12190CA1"/>
    <w:rsid w:val="14544B19"/>
    <w:rsid w:val="15224E9F"/>
    <w:rsid w:val="161F63D2"/>
    <w:rsid w:val="17747448"/>
    <w:rsid w:val="1810076A"/>
    <w:rsid w:val="19FF692D"/>
    <w:rsid w:val="1CB55F50"/>
    <w:rsid w:val="1E425758"/>
    <w:rsid w:val="1E83010C"/>
    <w:rsid w:val="1F6E185C"/>
    <w:rsid w:val="1FFF65DD"/>
    <w:rsid w:val="205265F0"/>
    <w:rsid w:val="236639AE"/>
    <w:rsid w:val="23C93361"/>
    <w:rsid w:val="265F2911"/>
    <w:rsid w:val="27D92C9A"/>
    <w:rsid w:val="290A0FAD"/>
    <w:rsid w:val="2B081392"/>
    <w:rsid w:val="2C25042C"/>
    <w:rsid w:val="2C8F18D7"/>
    <w:rsid w:val="2EC830A7"/>
    <w:rsid w:val="328F68B7"/>
    <w:rsid w:val="33B015AE"/>
    <w:rsid w:val="34681C48"/>
    <w:rsid w:val="347E409E"/>
    <w:rsid w:val="348965E8"/>
    <w:rsid w:val="3703625B"/>
    <w:rsid w:val="38EB31AB"/>
    <w:rsid w:val="38FD59EE"/>
    <w:rsid w:val="3AAB0422"/>
    <w:rsid w:val="3B4B5943"/>
    <w:rsid w:val="3BE645DA"/>
    <w:rsid w:val="3F577654"/>
    <w:rsid w:val="423B1DB6"/>
    <w:rsid w:val="42763E38"/>
    <w:rsid w:val="42A34089"/>
    <w:rsid w:val="4999703E"/>
    <w:rsid w:val="4C4F2836"/>
    <w:rsid w:val="4D1B156D"/>
    <w:rsid w:val="4D301426"/>
    <w:rsid w:val="4D625F91"/>
    <w:rsid w:val="4D943B9D"/>
    <w:rsid w:val="4E94198A"/>
    <w:rsid w:val="4F72416E"/>
    <w:rsid w:val="4FAA4BAD"/>
    <w:rsid w:val="504830EE"/>
    <w:rsid w:val="51245018"/>
    <w:rsid w:val="51684CD7"/>
    <w:rsid w:val="527541A2"/>
    <w:rsid w:val="52E51199"/>
    <w:rsid w:val="53CE5D40"/>
    <w:rsid w:val="53DF0F89"/>
    <w:rsid w:val="55CD117C"/>
    <w:rsid w:val="56C81120"/>
    <w:rsid w:val="56F073BC"/>
    <w:rsid w:val="571455BF"/>
    <w:rsid w:val="598D1DF8"/>
    <w:rsid w:val="59B74E79"/>
    <w:rsid w:val="5B2D7820"/>
    <w:rsid w:val="5B8411EC"/>
    <w:rsid w:val="5B8E7E9F"/>
    <w:rsid w:val="621D04B1"/>
    <w:rsid w:val="622E7613"/>
    <w:rsid w:val="62513BD9"/>
    <w:rsid w:val="6325037A"/>
    <w:rsid w:val="64156258"/>
    <w:rsid w:val="64160567"/>
    <w:rsid w:val="688268EC"/>
    <w:rsid w:val="697C2CD5"/>
    <w:rsid w:val="6CB4144C"/>
    <w:rsid w:val="6D171BA3"/>
    <w:rsid w:val="6D851631"/>
    <w:rsid w:val="714B3830"/>
    <w:rsid w:val="714F71AC"/>
    <w:rsid w:val="753C7FA5"/>
    <w:rsid w:val="754C4B72"/>
    <w:rsid w:val="757A0A81"/>
    <w:rsid w:val="76DD63AE"/>
    <w:rsid w:val="770F50E9"/>
    <w:rsid w:val="7EAD4C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paragraph" w:customStyle="1" w:styleId="18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19"/>
      <w:szCs w:val="19"/>
      <w:lang w:val="zh-CN" w:bidi="zh-CN"/>
    </w:rPr>
  </w:style>
  <w:style w:type="paragraph" w:customStyle="1" w:styleId="19">
    <w:name w:val="Heading #2|1"/>
    <w:basedOn w:val="1"/>
    <w:qFormat/>
    <w:uiPriority w:val="0"/>
    <w:pPr>
      <w:spacing w:after="300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paragraph" w:customStyle="1" w:styleId="20">
    <w:name w:val="Body text|3"/>
    <w:basedOn w:val="1"/>
    <w:qFormat/>
    <w:uiPriority w:val="0"/>
    <w:pPr>
      <w:spacing w:before="220" w:after="720"/>
      <w:ind w:firstLine="520"/>
    </w:pPr>
    <w:rPr>
      <w:sz w:val="32"/>
      <w:szCs w:val="32"/>
    </w:rPr>
  </w:style>
  <w:style w:type="paragraph" w:customStyle="1" w:styleId="21">
    <w:name w:val="Other|1"/>
    <w:basedOn w:val="1"/>
    <w:qFormat/>
    <w:uiPriority w:val="0"/>
    <w:pPr>
      <w:spacing w:line="302" w:lineRule="exact"/>
    </w:pPr>
    <w:rPr>
      <w:rFonts w:ascii="宋体" w:hAnsi="宋体" w:cs="宋体"/>
      <w:sz w:val="19"/>
      <w:szCs w:val="19"/>
      <w:lang w:val="zh-CN" w:bidi="zh-CN"/>
    </w:rPr>
  </w:style>
  <w:style w:type="paragraph" w:customStyle="1" w:styleId="22">
    <w:name w:val="Body text|4"/>
    <w:basedOn w:val="1"/>
    <w:qFormat/>
    <w:uiPriority w:val="0"/>
    <w:pPr>
      <w:spacing w:after="60"/>
      <w:ind w:firstLine="320"/>
    </w:pPr>
    <w:rPr>
      <w:rFonts w:ascii="宋体" w:hAnsi="宋体" w:cs="宋体"/>
      <w:lang w:val="zh-CN" w:bidi="zh-CN"/>
    </w:rPr>
  </w:style>
  <w:style w:type="paragraph" w:customStyle="1" w:styleId="23">
    <w:name w:val="Table caption|1"/>
    <w:basedOn w:val="1"/>
    <w:qFormat/>
    <w:uiPriority w:val="0"/>
    <w:pPr>
      <w:spacing w:line="302" w:lineRule="exact"/>
      <w:jc w:val="right"/>
    </w:pPr>
    <w:rPr>
      <w:rFonts w:ascii="宋体" w:hAnsi="宋体" w:cs="宋体"/>
      <w:sz w:val="19"/>
      <w:szCs w:val="19"/>
      <w:lang w:val="zh-CN" w:bidi="zh-CN"/>
    </w:rPr>
  </w:style>
  <w:style w:type="paragraph" w:customStyle="1" w:styleId="24">
    <w:name w:val="Header or footer|2"/>
    <w:basedOn w:val="1"/>
    <w:qFormat/>
    <w:uiPriority w:val="0"/>
    <w:rPr>
      <w:sz w:val="20"/>
      <w:szCs w:val="20"/>
      <w:lang w:val="zh-CN" w:bidi="zh-CN"/>
    </w:rPr>
  </w:style>
  <w:style w:type="paragraph" w:customStyle="1" w:styleId="25">
    <w:name w:val="Body text|2"/>
    <w:basedOn w:val="1"/>
    <w:qFormat/>
    <w:uiPriority w:val="0"/>
    <w:pPr>
      <w:spacing w:after="470"/>
    </w:pPr>
    <w:rPr>
      <w:b/>
      <w:bCs/>
      <w:sz w:val="19"/>
      <w:szCs w:val="19"/>
      <w:lang w:val="zh-CN" w:bidi="zh-CN"/>
    </w:rPr>
  </w:style>
  <w:style w:type="character" w:customStyle="1" w:styleId="26">
    <w:name w:val="bsharetext"/>
    <w:basedOn w:val="6"/>
    <w:qFormat/>
    <w:uiPriority w:val="0"/>
  </w:style>
  <w:style w:type="character" w:customStyle="1" w:styleId="2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1624</Words>
  <Characters>1705</Characters>
  <Lines>12</Lines>
  <Paragraphs>3</Paragraphs>
  <TotalTime>4</TotalTime>
  <ScaleCrop>false</ScaleCrop>
  <LinksUpToDate>false</LinksUpToDate>
  <CharactersWithSpaces>1706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2020-05-15T02:55:00Z</dcterms:created>
  <dc:creator></dc:creator>
  <cp:lastModifiedBy>Lenovo</cp:lastModifiedBy>
  <cp:lastPrinted>2022-10-27T03:01:08Z</cp:lastPrinted>
  <dcterms:modified xsi:type="dcterms:W3CDTF">2022-10-27T03:03:17Z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B83A077B90F747239290D9DC4CB80944</vt:lpwstr>
  </property>
</Properties>
</file>