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15956">
      <w:pPr>
        <w:keepNext w:val="0"/>
        <w:keepLines w:val="0"/>
        <w:pageBreakBefore w:val="0"/>
        <w:shd w:val="clear"/>
        <w:kinsoku/>
        <w:wordWrap/>
        <w:overflowPunct/>
        <w:topLinePunct w:val="0"/>
        <w:autoSpaceDE/>
        <w:autoSpaceDN/>
        <w:bidi w:val="0"/>
        <w:adjustRightInd/>
        <w:snapToGrid/>
        <w:spacing w:line="520" w:lineRule="exact"/>
        <w:ind w:firstLine="880" w:firstLineChars="200"/>
        <w:jc w:val="center"/>
        <w:textAlignment w:val="auto"/>
        <w:rPr>
          <w:rFonts w:hint="eastAsia" w:ascii="宋体" w:hAnsi="宋体" w:eastAsia="宋体" w:cs="宋体"/>
          <w:b w:val="0"/>
          <w:bCs w:val="0"/>
          <w:smallCaps w:val="0"/>
          <w:color w:val="000000" w:themeColor="text1"/>
          <w:kern w:val="0"/>
          <w:sz w:val="44"/>
          <w:szCs w:val="44"/>
          <w14:textFill>
            <w14:solidFill>
              <w14:schemeClr w14:val="tx1"/>
            </w14:solidFill>
          </w14:textFill>
        </w:rPr>
      </w:pPr>
    </w:p>
    <w:p w14:paraId="77C48971">
      <w:pPr>
        <w:pStyle w:val="2"/>
        <w:keepNext w:val="0"/>
        <w:keepLines w:val="0"/>
        <w:pageBreakBefore w:val="0"/>
        <w:widowControl w:val="0"/>
        <w:kinsoku/>
        <w:overflowPunct/>
        <w:topLinePunct w:val="0"/>
        <w:autoSpaceDE/>
        <w:autoSpaceDN/>
        <w:bidi w:val="0"/>
        <w:snapToGrid/>
        <w:spacing w:after="0"/>
        <w:jc w:val="center"/>
        <w:rPr>
          <w:rFonts w:hint="eastAsia" w:ascii="华文中宋" w:hAnsi="华文中宋" w:eastAsia="华文中宋" w:cs="华文中宋"/>
          <w:b w:val="0"/>
          <w:bCs/>
          <w:color w:val="000000" w:themeColor="text1"/>
          <w:kern w:val="0"/>
          <w:sz w:val="44"/>
          <w:szCs w:val="44"/>
          <w14:textFill>
            <w14:solidFill>
              <w14:schemeClr w14:val="tx1"/>
            </w14:solidFill>
          </w14:textFill>
        </w:rPr>
      </w:pPr>
      <w:r>
        <w:rPr>
          <w:rFonts w:hint="eastAsia" w:ascii="华文中宋" w:hAnsi="华文中宋" w:eastAsia="华文中宋" w:cs="华文中宋"/>
          <w:b w:val="0"/>
          <w:bCs/>
          <w:color w:val="000000" w:themeColor="text1"/>
          <w:kern w:val="0"/>
          <w:sz w:val="44"/>
          <w:szCs w:val="44"/>
          <w14:textFill>
            <w14:solidFill>
              <w14:schemeClr w14:val="tx1"/>
            </w14:solidFill>
          </w14:textFill>
        </w:rPr>
        <w:t>珠晖区2021年机关事业单位基本养老保险基金绩效评价报告</w:t>
      </w:r>
    </w:p>
    <w:p w14:paraId="39DAC17E">
      <w:pPr>
        <w:pStyle w:val="2"/>
        <w:keepNext w:val="0"/>
        <w:keepLines w:val="0"/>
        <w:pageBreakBefore w:val="0"/>
        <w:widowControl w:val="0"/>
        <w:shd w:val="clear"/>
        <w:kinsoku/>
        <w:overflowPunct/>
        <w:topLinePunct w:val="0"/>
        <w:autoSpaceDE/>
        <w:autoSpaceDN/>
        <w:bidi w:val="0"/>
        <w:adjustRightInd/>
        <w:snapToGrid/>
        <w:spacing w:after="0" w:line="579" w:lineRule="exact"/>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p>
    <w:p w14:paraId="599DA0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进一步加强财政项目资金管理，提高财政资源配置效率和使用效益。规范社会保险基金财务管理行为，加强基金收支的监督管理，根据《珠晖区财政局关于实施2022年财政重点项目绩效评价的通知》（珠财绩〔2022〕14号）等文件和绩效评价相关工作要求，珠晖区财政局绩效评价工作组对2021年衡阳市珠晖区机关事业单位基本养老保险基金项目实施绩效评价。在评审过程中，我们参照《中国注册会计师审计准则》，按照独立、客观、公正的原则，审核了相关企业提交的申报材料，履行了我们认为必要的评审程序。我们相信，我们的评审工作为发表意见提供了合理的基础，评审工作已完成，现报告如下：</w:t>
      </w:r>
    </w:p>
    <w:p w14:paraId="31C171C2">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一、项目基本情况</w:t>
      </w:r>
    </w:p>
    <w:p w14:paraId="08523775">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（一）项目背景</w:t>
      </w:r>
    </w:p>
    <w:p w14:paraId="069ED64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号文件规定程序，单独编制珠晖区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年机关事业单位养老保险基金预算，按程序在前一年度已报同级财政部门和社会保险行政部门备案。</w:t>
      </w:r>
    </w:p>
    <w:p w14:paraId="007C6B8B">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bookmarkStart w:id="0" w:name="_Toc18878"/>
      <w:bookmarkEnd w:id="0"/>
      <w:bookmarkStart w:id="1" w:name="_Toc25932181"/>
      <w:bookmarkEnd w:id="1"/>
      <w:bookmarkStart w:id="2" w:name="_Toc14274848"/>
      <w:bookmarkEnd w:id="2"/>
      <w:bookmarkStart w:id="3" w:name="_Toc57622741"/>
      <w:bookmarkEnd w:id="3"/>
      <w:bookmarkStart w:id="4" w:name="_Toc23834"/>
      <w:bookmarkEnd w:id="4"/>
      <w:bookmarkStart w:id="5" w:name="_Toc58417748"/>
      <w:bookmarkEnd w:id="5"/>
      <w:bookmarkStart w:id="6" w:name="_Toc4487583"/>
      <w:bookmarkEnd w:id="6"/>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项目内容</w:t>
      </w:r>
    </w:p>
    <w:p w14:paraId="217357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bookmarkStart w:id="7" w:name="_Toc4590416"/>
      <w:bookmarkEnd w:id="7"/>
      <w:bookmarkStart w:id="8" w:name="_Toc14274850"/>
      <w:bookmarkEnd w:id="8"/>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机关事业单位养老保险基金主要包括机关事业单位养老保险基金的基金筹集和支出。包括核对机关事业单位养老基金支出情况，及时掌握全区机关事业单位养老保险缺口，根据资金结余情况提出资金缺口申请。每月发放机关事业单位养老保险金，保障机关事业单位退休人员养老金及时足额发放，确保基金安全。</w:t>
      </w:r>
    </w:p>
    <w:p w14:paraId="4E7B681E">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9" w:name="_Toc3240"/>
      <w:bookmarkEnd w:id="9"/>
      <w:r>
        <w:rPr>
          <w:rFonts w:hint="eastAsia" w:ascii="黑体" w:hAnsi="黑体" w:eastAsia="黑体" w:cs="黑体"/>
          <w:b w:val="0"/>
          <w:bCs w:val="0"/>
          <w:color w:val="000000" w:themeColor="text1"/>
          <w:sz w:val="32"/>
          <w:szCs w:val="32"/>
          <w:lang w:val="en-US" w:eastAsia="zh-CN"/>
          <w14:textFill>
            <w14:solidFill>
              <w14:schemeClr w14:val="tx1"/>
            </w14:solidFill>
          </w14:textFill>
        </w:rPr>
        <w:t>二、绩效目标评价工作</w:t>
      </w:r>
    </w:p>
    <w:p w14:paraId="376F1BEE">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（一）绩效评价目的</w:t>
      </w:r>
    </w:p>
    <w:p w14:paraId="19FC139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开展绩效评价，了解项目实施情况、项目监督管理情况及体系建设，落实机关事业单位养老保险项目的产出和效果。根据项目完成情况，运用科学、规范的绩效评价方法，依据既定的评价指标体系，对机关事业单位养老保险项目财政资金的使用进行综合评判，客观反映其社会效益和可持续影响。进一步规范项目运作管理机制，强化监督机制，抓实措施，保障项目有效实施。</w:t>
      </w:r>
    </w:p>
    <w:p w14:paraId="340A595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绩效评价，总结项目实施过程中的问题和经验，发现项目实施过程和资金管理中存在的问题，提出有针对性的改进意见和建议，进一步提高财政资金使用效益；总结预算管理经验，查找资金使用和管理中的薄弱环节，为进一步完善财政政策、改进预算管理、提高预算资金绩效提供依据。</w:t>
      </w:r>
    </w:p>
    <w:p w14:paraId="21BF9668">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bookmarkStart w:id="10" w:name="_Toc57622745"/>
      <w:bookmarkEnd w:id="10"/>
      <w:bookmarkStart w:id="11" w:name="_Toc14274854"/>
      <w:bookmarkEnd w:id="11"/>
      <w:bookmarkStart w:id="12" w:name="_Toc58417752"/>
      <w:bookmarkEnd w:id="12"/>
      <w:bookmarkStart w:id="13" w:name="_Toc25932185"/>
      <w:bookmarkEnd w:id="13"/>
      <w:bookmarkStart w:id="14" w:name="_Toc21473"/>
      <w:bookmarkEnd w:id="14"/>
      <w:bookmarkStart w:id="15" w:name="_Toc4487587"/>
      <w:bookmarkEnd w:id="15"/>
      <w:bookmarkStart w:id="16" w:name="_Toc13450"/>
      <w:bookmarkEnd w:id="16"/>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（二）绩效评价范围</w:t>
      </w:r>
    </w:p>
    <w:p w14:paraId="536C9A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本次绩效评价范围为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年机关事业单位基本养老保险基金，项目总支出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686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万元，被评价单位为珠晖区人力资源和社会保障局。</w:t>
      </w:r>
    </w:p>
    <w:p w14:paraId="40EE32F7">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（三）绩效评价原则、评价指标体系、绩效评价方法</w:t>
      </w:r>
    </w:p>
    <w:p w14:paraId="75DCE21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绩效评价原则：</w:t>
      </w:r>
      <w:bookmarkStart w:id="20" w:name="_GoBack"/>
      <w:bookmarkEnd w:id="20"/>
    </w:p>
    <w:p w14:paraId="38464E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科学规范原则。严格执行规定的程序，按照科学可行的要求，采用定量与定性分析相结合的方法。二是公开公正原则。绩效评价符合真实、客观、公正的要求，依法公开并接受监督。三是绩效相关原则。绩效评价涵盖具体支出及其产出绩效，评价结果清晰反映支出和产出绩效之间的紧密对应关系</w:t>
      </w:r>
    </w:p>
    <w:p w14:paraId="4339B81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评价指标体系</w:t>
      </w:r>
    </w:p>
    <w:p w14:paraId="2410C2E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本次评价指标体系包括“项目决策、项目过程、项目产出、项目效益”四个部分，总分</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分。</w:t>
      </w:r>
    </w:p>
    <w:p w14:paraId="21B25AA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绩效评价方法</w:t>
      </w:r>
    </w:p>
    <w:p w14:paraId="0145D7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本次绩效评价以材料核查、电话回访、实地考察为基础，综合运用对比分析等方法对衡阳市珠晖区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年机关事业单位养老保险基金使用管理、综合效益等内容进行绩效评价。</w:t>
      </w:r>
    </w:p>
    <w:p w14:paraId="6EEC5E97">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（四）绩效评价依据</w:t>
      </w:r>
    </w:p>
    <w:p w14:paraId="75ADCB9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法律法规依据</w:t>
      </w:r>
    </w:p>
    <w:p w14:paraId="7D3E2E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①《中华人民共和国预算法》</w:t>
      </w:r>
    </w:p>
    <w:p w14:paraId="4774CF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②《中共中央国务院关于全面实施预算绩效管理的意见》（中发〔</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0E4AB17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③《中共湖南省委办公厅 湖南省人民政府办公厅关于全面实施预算绩效管理的实施意见》（湘办发〔</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2019</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64A8D83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④《中共中央 国务院关于全面实施预算绩效管理的意见的通知（预财[</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2018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386B862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⑤财政部关于印发《项目支出绩效评价管理办法》的通知（财预[</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2C87ABB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⑥《湖南省财政厅关于印发〈湖南省预算绩效目标管理办法〉的通知（湘财绩〔</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592D64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⑦《湖南省财政厅关于印发〈湖南省预算支出绩效评价管理办法〉的通知（湘财绩〔</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569EEB4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⑧湖南省人力资源和社会保障厅关于印发《湖南省社会保险基金行政监督实施办法的通知》 (湘人社规[</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353530A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⑨财政部 人力资源社会保障部 国家卫生计生委关于印发《社会保险基金财务制度》的通知（财社[</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2017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144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号）</w:t>
      </w:r>
    </w:p>
    <w:p w14:paraId="505C5AB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其他依据</w:t>
      </w:r>
    </w:p>
    <w:p w14:paraId="42F69C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①被评审单位项目资料</w:t>
      </w:r>
    </w:p>
    <w:p w14:paraId="14907A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②被评审单位财务资料</w:t>
      </w:r>
    </w:p>
    <w:p w14:paraId="5B8FCF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③被评审单位自评表</w:t>
      </w:r>
    </w:p>
    <w:p w14:paraId="3745CE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④其他</w:t>
      </w:r>
    </w:p>
    <w:p w14:paraId="0E51193D">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（五）绩效评价实施过程</w:t>
      </w:r>
    </w:p>
    <w:p w14:paraId="33FAB3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本次绩效评价时间为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日，评价工作整体分为评价准备、现场评价、综合评价、报告的编制和提交报告四个阶段。</w:t>
      </w:r>
    </w:p>
    <w:p w14:paraId="4B84A017">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评价准备阶段</w:t>
      </w:r>
    </w:p>
    <w:p w14:paraId="0F6DCB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财政局、区社保局和中介机构湖南天翼有限责任会计师事务所成立第三方绩效评价工作小组；工作小组对项目支出资金进行调研，与项目管理和实施单位沟通，收集、整理相关资料，了解专项资金的内容、操作流程、管理机制、资金使用等情况，根据专项资金实际情况和绩效管理要求制定绩效评价工作方案。</w:t>
      </w:r>
    </w:p>
    <w:p w14:paraId="1A6E0D8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现场评价阶段</w:t>
      </w:r>
    </w:p>
    <w:p w14:paraId="61940F5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价工作小组开展现场评价，现场评价主要采取座谈会、复核资料、因为疫情期间管控严，通过电话回访等方式。评价工作小组在现场需完成《现场评价工作底稿》，通过拍照复印等方式取得佐证资料并就发现的情况和被评价单位交换意见，结束现场时需请被评价单位填写《现场评价回执》。</w:t>
      </w:r>
    </w:p>
    <w:p w14:paraId="54DC227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综合评价阶段</w:t>
      </w:r>
    </w:p>
    <w:p w14:paraId="339B52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评价工作小组整理现场收集的资料，对评价对象进行定量定性分析和综合评价，根据评价指标体系初步计分；综合情况进行比较分析，修正分值，形成基本结论，出具评价报告征求意见稿，征求相关部门的意见。</w:t>
      </w:r>
    </w:p>
    <w:p w14:paraId="6A09C44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报告的编制和提交报告</w:t>
      </w:r>
    </w:p>
    <w:p w14:paraId="0918FD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①根据各指标的评价结果及项目的整体评价结论，按绩效评价相关规定及要求编制绩效评价报告；</w:t>
      </w:r>
    </w:p>
    <w:p w14:paraId="683F47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②与委托方就绩效评价报告进行充分沟通；</w:t>
      </w:r>
    </w:p>
    <w:p w14:paraId="5AE173D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③履行评价机构内部审核程序；</w:t>
      </w:r>
    </w:p>
    <w:p w14:paraId="723EE4E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④提交绩效评价报告；</w:t>
      </w:r>
    </w:p>
    <w:p w14:paraId="290058A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⑤工作底稿归档。</w:t>
      </w:r>
    </w:p>
    <w:p w14:paraId="45191711">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三、绩效目标完成及</w:t>
      </w:r>
      <w:r>
        <w:rPr>
          <w:rFonts w:hint="default" w:ascii="黑体" w:hAnsi="黑体" w:eastAsia="黑体" w:cs="黑体"/>
          <w:b w:val="0"/>
          <w:bCs w:val="0"/>
          <w:color w:val="000000" w:themeColor="text1"/>
          <w:sz w:val="32"/>
          <w:szCs w:val="32"/>
          <w:lang w:val="en-US" w:eastAsia="zh-CN"/>
          <w14:textFill>
            <w14:solidFill>
              <w14:schemeClr w14:val="tx1"/>
            </w14:solidFill>
          </w14:textFill>
        </w:rPr>
        <w:t>2021</w:t>
      </w:r>
      <w:r>
        <w:rPr>
          <w:rFonts w:hint="eastAsia" w:ascii="黑体" w:hAnsi="黑体" w:eastAsia="黑体" w:cs="黑体"/>
          <w:b w:val="0"/>
          <w:bCs w:val="0"/>
          <w:color w:val="000000" w:themeColor="text1"/>
          <w:sz w:val="32"/>
          <w:szCs w:val="32"/>
          <w:lang w:val="en-US" w:eastAsia="zh-CN"/>
          <w14:textFill>
            <w14:solidFill>
              <w14:schemeClr w14:val="tx1"/>
            </w14:solidFill>
          </w14:textFill>
        </w:rPr>
        <w:t>年度运行情况分析</w:t>
      </w:r>
    </w:p>
    <w:p w14:paraId="236F7463">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（一）养老保险基金收支情况分析</w:t>
      </w:r>
    </w:p>
    <w:p w14:paraId="28A2446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机关事业单位养老保险基金总收入9,948.21万元，其中基本养老保险费收入4,180.51万元、利息收入14万元、2021年全年根据基金结余实际情况，从预算内合理拨付财政补助收入5,348万元，其中中央财政补助1,903万元，区级财政补助3,445万元、转移收入405.26万元、其他收入0.44万元。基金当期结余2,026.45万元。</w:t>
      </w:r>
    </w:p>
    <w:p w14:paraId="7F4A0DE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机关事业单位养老保险基金总支出11,686.60万元，其中基本养老保险待遇支出11,605.82万元，转移支出70.86万元、其他支出9.92万元。全区保障机关事业单位离退休人员2,049人的基本养老金待遇发放。发放待遇时间为每月8日及25日。每月8日，发放财政全额供养人员退休费，经办人员将发放数据报盘发送给银行，银行根据实际数据发放。每月25日发放财政差额供养及自收自支人员退休费，出纳根据业务相关单据将每月退休费转入各单位，由各单位自行发放。机关事业单位养老保险离退休人员2,049人，基本与上年持平。全年支出执行目标99%以上，待遇发放准确率99％以上。</w:t>
      </w:r>
    </w:p>
    <w:p w14:paraId="0736B469">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（二）养老保险基金运行情况分析</w:t>
      </w:r>
    </w:p>
    <w:p w14:paraId="44B35F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办机构按照“流程覆盖、环节把控、职责明确”的工作思路。主要业务为：一是机关事业单位基本养老保险待遇申领；二是机关事业单位基本养老保险参保人员一次性支付；三是机关事业单位养老保险退休人员基本养老金领取银行变更；四是机关事业单位养老保险退休人员待遇暂停支付、恢复支付。</w:t>
      </w:r>
    </w:p>
    <w:p w14:paraId="2A72B31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现了经办和管理工作规范、有效运行，保障了基金安全。按统一的会计制度和收支业务审批制度，对基金分别建账、分账核算，按规定开设养老保险基金收入户、支出户，严格实行收支两条线管理，全面实行全程电子化，确保了基金专款专用。每月资金拨付严格按照管理内控控制付款。根据财政部门批复的社会保险基金预算，在规定时间内向统计财政部门提交用款计划。财政部门对用款计划审核无误后，在规定时间内从财政专户拨付基金。</w:t>
      </w:r>
    </w:p>
    <w:p w14:paraId="6A0BA5A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年珠晖区机关事业单位基本养老保险业务由珠晖区社会保险服务中心办理，拨付程序如下：</w:t>
      </w:r>
    </w:p>
    <w:p w14:paraId="6DEDABD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1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经办人制表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2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业务部门（审核）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3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财务部门（复核）</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4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分管领导审批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5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中心领导批准</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instrText xml:space="preserve"> = 6 \* GB3 \* MERGEFORMAT </w:instrTex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出纳付款</w:t>
      </w:r>
    </w:p>
    <w:p w14:paraId="6F011DA2">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四、绩效评价意见</w:t>
      </w:r>
    </w:p>
    <w:p w14:paraId="02FB8C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珠晖区机关事业单位养老保险基金项目从根本上做到提高居民的生活水平，实现老有所养，保障老年人的基本生活需求，为其提供稳定可靠的生活来源，解决人民的后顾之忧，促进社会和谐稳定，具有重大的现实意义。</w:t>
      </w:r>
    </w:p>
    <w:p w14:paraId="75DD7E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组经过现场评价取数，从预算编制与执行、资金分配与使用、资金监督与管理及财务会计信息、项目组织管理、项目绩效完成、服务对象满意度电话回访等方面，对项目进行了定性、定量评价相结合的方式，珠晖区机关事业单位基本养老保险基金项目最终得分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94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分，项目的总体实施情况属“优”。</w:t>
      </w:r>
    </w:p>
    <w:p w14:paraId="69433DF5">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五、存在的问题</w:t>
      </w:r>
    </w:p>
    <w:p w14:paraId="60877C77">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（一）绩效目标管理欠规范</w:t>
      </w:r>
    </w:p>
    <w:p w14:paraId="45E8919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一是个别项目绩效目标申报表设置不合理。</w:t>
      </w:r>
    </w:p>
    <w:p w14:paraId="6643375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二是部分项目绩效指标设置不细化、不量化。根据《湖南省预算绩效目标管理办法》的要求，绩效目标编制包括设定绩效目标、制定绩效目标及其标准值。</w:t>
      </w:r>
    </w:p>
    <w:p w14:paraId="7FBCB304">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（二）预算编制欠科学、合理</w:t>
      </w:r>
    </w:p>
    <w:p w14:paraId="56AAD60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从现场评价情况来看，预算编制与实际情况存在差异，基本养老保险基金预算金额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500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万元，实际执行金额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348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万元。预算金额超过实际金额</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152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万元。</w:t>
      </w:r>
    </w:p>
    <w:p w14:paraId="233B241C">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7" w:name="_Toc18938"/>
      <w:bookmarkEnd w:id="17"/>
      <w:bookmarkStart w:id="18" w:name="_Toc3208"/>
      <w:bookmarkEnd w:id="18"/>
      <w:bookmarkStart w:id="19" w:name="_Toc29282"/>
      <w:bookmarkEnd w:id="19"/>
      <w:r>
        <w:rPr>
          <w:rFonts w:hint="eastAsia" w:ascii="黑体" w:hAnsi="黑体" w:eastAsia="黑体" w:cs="黑体"/>
          <w:b w:val="0"/>
          <w:bCs w:val="0"/>
          <w:color w:val="000000" w:themeColor="text1"/>
          <w:sz w:val="32"/>
          <w:szCs w:val="32"/>
          <w:lang w:val="en-US" w:eastAsia="zh-CN"/>
          <w14:textFill>
            <w14:solidFill>
              <w14:schemeClr w14:val="tx1"/>
            </w14:solidFill>
          </w14:textFill>
        </w:rPr>
        <w:t>六、工作建议</w:t>
      </w:r>
    </w:p>
    <w:p w14:paraId="51C1E291">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（一）加强项目申报阶段的绩效目标填报，夯实绩效管理基础。</w:t>
      </w:r>
    </w:p>
    <w:p w14:paraId="7A0D37D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相关规定，“谁申请资金，谁编制目标”、“谁分配资金，谁审核目标”、“谁申报，谁公开”。建立正确的绩效目标管理理念，规范制定绩效目标的管理职责，明确组织机构分工，并加大对目标制定管理人员的专业知识培训，特别是有关绩效目标制定依据的相关文件的学习，提高制定绩效目标的水平。</w:t>
      </w:r>
    </w:p>
    <w:p w14:paraId="74569769">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方正楷体_GB2312" w:hAnsi="方正楷体_GB2312" w:eastAsia="方正楷体_GB2312" w:cs="方正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（二）减少预算编制与实际运行误差。</w:t>
      </w:r>
    </w:p>
    <w:p w14:paraId="5C050F7D">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事前预算编制，提升预算编制科学化、规范化和精细化水平。建议主管部门在预算编制前，进行必要的可行性研究、科学论证和充分的调研，根据本年度实际情况确定预算内容和支出内容，结合具体专项绩效总目标和年度阶段性目标（本年度的工作任务）匹配预算支出投资额或资金量，提升预算编制科学化、规范化和精细化水平，从而加强预算管理和预算监督，为编制科学预算提供保障，确保预算执行的有效性，维护预算的严肃性。</w:t>
      </w:r>
    </w:p>
    <w:p w14:paraId="461B82A7">
      <w:pPr>
        <w:keepNext w:val="0"/>
        <w:keepLines w:val="0"/>
        <w:pageBreakBefore w:val="0"/>
        <w:widowControl w:val="0"/>
        <w:kinsoku/>
        <w:overflowPunct/>
        <w:topLinePunct w:val="0"/>
        <w:autoSpaceDE/>
        <w:autoSpaceDN/>
        <w:bidi w:val="0"/>
        <w:adjustRightInd/>
        <w:snapToGrid/>
        <w:spacing w:line="579" w:lineRule="exact"/>
        <w:ind w:left="0" w:firstLine="643" w:firstLineChars="200"/>
        <w:jc w:val="left"/>
        <w:textAlignment w:val="auto"/>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（三）重视项目绩效评价自评工作，做到自评报告实事求是。</w:t>
      </w:r>
    </w:p>
    <w:p w14:paraId="40821E0D">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根据相关规定，预算资金使用单位要对预算资金使用情况进行自评，向相关部门报送预算绩效自评报告。</w:t>
      </w:r>
    </w:p>
    <w:p w14:paraId="408E08E3">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p>
    <w:p w14:paraId="0DA16EDB">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附件：珠晖区</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年机关事业单位基本养老保险基金绩效评价指标明细表</w:t>
      </w:r>
    </w:p>
    <w:p w14:paraId="28762205">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6ED43313">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552DF905">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珠晖区财政局</w:t>
      </w:r>
    </w:p>
    <w:p w14:paraId="5A6D4ED6">
      <w:pPr>
        <w:keepNext w:val="0"/>
        <w:keepLines w:val="0"/>
        <w:pageBreakBefore w:val="0"/>
        <w:widowControl w:val="0"/>
        <w:kinsoku/>
        <w:overflowPunct/>
        <w:topLinePunct w:val="0"/>
        <w:autoSpaceDE/>
        <w:autoSpaceDN/>
        <w:bidi w:val="0"/>
        <w:adjustRightInd/>
        <w:snapToGrid/>
        <w:spacing w:line="579" w:lineRule="exact"/>
        <w:ind w:left="0" w:firstLine="6080" w:firstLineChars="19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2月13日</w:t>
      </w:r>
    </w:p>
    <w:p w14:paraId="36D1535E">
      <w:pPr>
        <w:keepNext w:val="0"/>
        <w:keepLines w:val="0"/>
        <w:pageBreakBefore w:val="0"/>
        <w:widowControl w:val="0"/>
        <w:kinsoku/>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footerReference r:id="rId3" w:type="default"/>
          <w:pgSz w:w="11906" w:h="16838"/>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14:paraId="074B8CF4">
      <w:pPr>
        <w:widowControl w:val="0"/>
        <w:numPr>
          <w:ilvl w:val="0"/>
          <w:numId w:val="0"/>
        </w:numPr>
        <w:shd w:val="clear"/>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附件</w:t>
      </w:r>
    </w:p>
    <w:p w14:paraId="62629862">
      <w:pPr>
        <w:widowControl w:val="0"/>
        <w:numPr>
          <w:ilvl w:val="0"/>
          <w:numId w:val="0"/>
        </w:numPr>
        <w:shd w:val="clear"/>
        <w:jc w:val="cente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珠晖区</w:t>
      </w:r>
      <w:r>
        <w:rPr>
          <w:rFonts w:hint="default" w:ascii="Times New Roman" w:hAnsi="Times New Roman" w:eastAsia="方正小标宋简体" w:cs="Times New Roman"/>
          <w:b/>
          <w:bCs/>
          <w:color w:val="000000" w:themeColor="text1"/>
          <w:sz w:val="32"/>
          <w:szCs w:val="32"/>
          <w:lang w:val="en-US" w:eastAsia="zh-CN"/>
          <w14:textFill>
            <w14:solidFill>
              <w14:schemeClr w14:val="tx1"/>
            </w14:solidFill>
          </w14:textFill>
        </w:rPr>
        <w:t>2021</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年机关事业单位基本养老保险基金</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绩效评价指标</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明细表</w:t>
      </w:r>
    </w:p>
    <w:tbl>
      <w:tblPr>
        <w:tblStyle w:val="6"/>
        <w:tblpPr w:leftFromText="180" w:rightFromText="180" w:vertAnchor="text" w:horzAnchor="page" w:tblpX="1139" w:tblpY="723"/>
        <w:tblOverlap w:val="never"/>
        <w:tblW w:w="5048"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1184"/>
        <w:gridCol w:w="813"/>
        <w:gridCol w:w="1219"/>
        <w:gridCol w:w="3562"/>
        <w:gridCol w:w="3988"/>
        <w:gridCol w:w="2732"/>
        <w:gridCol w:w="610"/>
      </w:tblGrid>
      <w:tr w14:paraId="2FC6B38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blHeader/>
        </w:trPr>
        <w:tc>
          <w:tcPr>
            <w:tcW w:w="420"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4D76AAB">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一级</w:t>
            </w:r>
          </w:p>
          <w:p w14:paraId="29EFF1B5">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w:t>
            </w:r>
          </w:p>
        </w:tc>
        <w:tc>
          <w:tcPr>
            <w:tcW w:w="28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493BCB5">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二级</w:t>
            </w:r>
          </w:p>
          <w:p w14:paraId="14FA3ED0">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8DC0B2D">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三级指标</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CE8820F">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指标解释</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6C1FC1D">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14:textFill>
                  <w14:solidFill>
                    <w14:schemeClr w14:val="tx1"/>
                  </w14:solidFill>
                </w14:textFill>
              </w:rPr>
              <w:t>指标说明</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123C07F">
            <w:pPr>
              <w:widowControl w:val="0"/>
              <w:numPr>
                <w:ilvl w:val="0"/>
                <w:numId w:val="0"/>
              </w:numPr>
              <w:shd w:val="clear"/>
              <w:tabs>
                <w:tab w:val="left" w:pos="410"/>
              </w:tabs>
              <w:ind w:left="0" w:leftChars="0" w:firstLine="0" w:firstLineChars="0"/>
              <w:jc w:val="both"/>
              <w:rPr>
                <w:rFonts w:hint="eastAsia" w:ascii="方正仿宋_GB2312" w:hAnsi="方正仿宋_GB2312" w:eastAsia="方正仿宋_GB2312" w:cs="方正仿宋_GB2312"/>
                <w:b/>
                <w:bCs/>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b/>
                <w:bCs/>
                <w:color w:val="000000" w:themeColor="text1"/>
                <w:kern w:val="2"/>
                <w:sz w:val="21"/>
                <w:szCs w:val="21"/>
                <w:lang w:val="en-US" w:eastAsia="zh-CN" w:bidi="ar-SA"/>
                <w14:textFill>
                  <w14:solidFill>
                    <w14:schemeClr w14:val="tx1"/>
                  </w14:solidFill>
                </w14:textFill>
              </w:rPr>
              <w:t>评价情况</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CA496E4">
            <w:pPr>
              <w:widowControl w:val="0"/>
              <w:numPr>
                <w:ilvl w:val="0"/>
                <w:numId w:val="0"/>
              </w:numPr>
              <w:shd w:val="clear"/>
              <w:tabs>
                <w:tab w:val="left" w:pos="410"/>
              </w:tabs>
              <w:ind w:left="0" w:leftChars="0" w:firstLine="0" w:firstLineChars="0"/>
              <w:jc w:val="center"/>
              <w:rPr>
                <w:rFonts w:hint="eastAsia" w:ascii="方正仿宋_GB2312" w:hAnsi="方正仿宋_GB2312" w:eastAsia="方正仿宋_GB2312" w:cs="方正仿宋_GB2312"/>
                <w:b/>
                <w:bCs/>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得分</w:t>
            </w:r>
          </w:p>
        </w:tc>
      </w:tr>
      <w:tr w14:paraId="4ED4B1F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2593" w:hRule="atLeast"/>
        </w:trPr>
        <w:tc>
          <w:tcPr>
            <w:tcW w:w="420" w:type="pct"/>
            <w:vMerge w:val="restart"/>
            <w:tcBorders>
              <w:top w:val="outset" w:color="000000" w:sz="6" w:space="0"/>
              <w:left w:val="outset" w:color="000000" w:sz="6" w:space="0"/>
              <w:right w:val="outset" w:color="000000" w:sz="6" w:space="0"/>
            </w:tcBorders>
            <w:shd w:val="clear" w:color="auto" w:fill="auto"/>
            <w:noWrap/>
            <w:vAlign w:val="center"/>
          </w:tcPr>
          <w:p w14:paraId="56E189F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决</w:t>
            </w:r>
          </w:p>
          <w:p w14:paraId="287EFFA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FD43A2C">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5C6C76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策</w:t>
            </w:r>
          </w:p>
          <w:p w14:paraId="05484F2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288"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33F8F44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相关政策制定和调整完善</w:t>
            </w:r>
          </w:p>
          <w:p w14:paraId="6D0F75AC">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3CC2A0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依据充分性</w:t>
            </w:r>
          </w:p>
          <w:p w14:paraId="2AC168A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7CD8DF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相关政策制定是否符合法律法规、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上级</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政策、发展规划以及部门职责。</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164051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2A2791A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①政策是否符合国家</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预算管理和社会保险相关法律法规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、国民经济发展规划和相关政策；</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中华人民共和国社会保险法</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中华人民共和国预算法</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社会保险基金财务制度</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湖南省社会保险基金行政监督实施办法</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7F36648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②政策是否符合行业发展规划和政策要求；</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2C835C9C">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③政策是否与部门职责范围相符，属于部门履职所需；</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CD0214A">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t>相关政策制定符合法律法规、上级政策、发展规划以及部门职责，</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4477C75">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088BF3C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bottom w:val="outset" w:color="000000" w:sz="6" w:space="0"/>
              <w:right w:val="outset" w:color="000000" w:sz="6" w:space="0"/>
            </w:tcBorders>
            <w:shd w:val="clear" w:color="auto" w:fill="auto"/>
            <w:noWrap/>
            <w:vAlign w:val="center"/>
          </w:tcPr>
          <w:p w14:paraId="0DE32EC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7B6D8306">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96887A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程序规范性</w:t>
            </w:r>
          </w:p>
          <w:p w14:paraId="3101C0B6">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14C5BE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相关政策制定过程是否符合相关要求。</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4533C1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5DBA1EB7">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①政策</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制定</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是否按照规定的程序</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进行</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53B2B627">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②审批文件、材料是否符合相关要求；（</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p w14:paraId="4473EE2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③事前是否已经过必要的可行性研究、专家论证、集体决策。（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分）</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D553040">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相关政策制定过程符合相关要求</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8633E96">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32698EB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restart"/>
            <w:tcBorders>
              <w:top w:val="outset" w:color="000000" w:sz="6" w:space="0"/>
              <w:left w:val="outset" w:color="000000" w:sz="6" w:space="0"/>
              <w:right w:val="outset" w:color="000000" w:sz="6" w:space="0"/>
            </w:tcBorders>
            <w:shd w:val="clear" w:color="auto" w:fill="auto"/>
            <w:noWrap/>
            <w:vAlign w:val="top"/>
          </w:tcPr>
          <w:p w14:paraId="4C03249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7A69697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CD9DF60">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54B41DA0">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4B23C9F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5D17417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489DD79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334F447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CD1CA9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C724E3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8F840B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8F0A23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B750E70">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5EE29DA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3B45B39">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 xml:space="preserve"> 过</w:t>
            </w:r>
          </w:p>
          <w:p w14:paraId="4CBF4A00">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B2EB7D9">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5B3F7423">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程</w:t>
            </w:r>
          </w:p>
          <w:p w14:paraId="531B6FE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p w14:paraId="39E84C09">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3EE0061A">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5215EEB3">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126227F5">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12E3EFF9">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CDFEFBC">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68122A5E">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90465A4">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624A963">
            <w:pPr>
              <w:pStyle w:val="2"/>
              <w:shd w:val="clea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7324C398">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261024E2">
            <w:pPr>
              <w:pStyle w:val="2"/>
              <w:rPr>
                <w:rFonts w:hint="eastAsia" w:ascii="方正仿宋_GB2312" w:hAnsi="方正仿宋_GB2312" w:eastAsia="方正仿宋_GB2312" w:cs="方正仿宋_GB2312"/>
                <w:sz w:val="21"/>
                <w:szCs w:val="21"/>
                <w:lang w:val="en-US" w:eastAsia="zh-CN"/>
              </w:rPr>
            </w:pPr>
          </w:p>
          <w:p w14:paraId="7609962A">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过</w:t>
            </w:r>
          </w:p>
          <w:p w14:paraId="149FCB0D">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3E2A5478">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26ABF6CC">
            <w:pPr>
              <w:widowControl w:val="0"/>
              <w:numPr>
                <w:ilvl w:val="0"/>
                <w:numId w:val="0"/>
              </w:numPr>
              <w:shd w:val="clear"/>
              <w:ind w:firstLine="420" w:firstLineChars="200"/>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程</w:t>
            </w:r>
          </w:p>
          <w:p w14:paraId="40C651C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288" w:type="pct"/>
            <w:vMerge w:val="restart"/>
            <w:tcBorders>
              <w:top w:val="outset" w:color="000000" w:sz="6" w:space="0"/>
              <w:left w:val="outset" w:color="000000" w:sz="6" w:space="0"/>
              <w:right w:val="outset" w:color="000000" w:sz="6" w:space="0"/>
            </w:tcBorders>
            <w:shd w:val="clear" w:color="auto" w:fill="auto"/>
            <w:vAlign w:val="center"/>
          </w:tcPr>
          <w:p w14:paraId="4AFC9EB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w:t>
            </w:r>
          </w:p>
          <w:p w14:paraId="77C4EC3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目标</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A22B7C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w:t>
            </w:r>
          </w:p>
          <w:p w14:paraId="0D1A6A6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合理性</w:t>
            </w:r>
          </w:p>
          <w:p w14:paraId="6AB8C2D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FB6BB5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所设定的绩效目标是否依据充分，是否符合客观实际，用以反映和考核</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绩效目标与</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实施的相符情况。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94FC44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2817C00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（如未设定预算绩效目标，也可考核其他工作任务目标）</w:t>
            </w:r>
          </w:p>
          <w:p w14:paraId="2400F35B">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是否有绩效目标；</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414A530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绩效目标与实际工作内容是否具有相关性；</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18BCEBC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预期产出效益和效果是否符合正常的业绩水平；是否与预算确定的</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资金量相匹配。</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7A04A1F">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t>基金预算收入未制定绩效目标，扣</w:t>
            </w:r>
            <w:r>
              <w:rPr>
                <w:rFonts w:hint="default" w:ascii="Times New Roman" w:hAnsi="Times New Roman" w:eastAsia="方正仿宋_GB2312" w:cs="Times New Roman"/>
                <w:color w:val="000000" w:themeColor="text1"/>
                <w:kern w:val="2"/>
                <w:sz w:val="21"/>
                <w:szCs w:val="21"/>
                <w:lang w:val="en-US" w:eastAsia="zh-CN" w:bidi="ar-SA"/>
                <w14:textFill>
                  <w14:solidFill>
                    <w14:schemeClr w14:val="tx1"/>
                  </w14:solidFill>
                </w14:textFill>
              </w:rPr>
              <w:t>2</w:t>
            </w:r>
            <w: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t>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CFB95E5">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p>
        </w:tc>
      </w:tr>
      <w:tr w14:paraId="6A56E10E">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96" w:hRule="atLeast"/>
        </w:trPr>
        <w:tc>
          <w:tcPr>
            <w:tcW w:w="420" w:type="pct"/>
            <w:vMerge w:val="continue"/>
            <w:tcBorders>
              <w:left w:val="outset" w:color="000000" w:sz="6" w:space="0"/>
              <w:right w:val="outset" w:color="000000" w:sz="6" w:space="0"/>
            </w:tcBorders>
            <w:shd w:val="clear" w:color="auto" w:fill="auto"/>
            <w:noWrap/>
            <w:vAlign w:val="center"/>
          </w:tcPr>
          <w:p w14:paraId="1665F4F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right w:val="outset" w:color="000000" w:sz="6" w:space="0"/>
            </w:tcBorders>
            <w:shd w:val="clear" w:color="auto" w:fill="auto"/>
            <w:vAlign w:val="center"/>
          </w:tcPr>
          <w:p w14:paraId="03C382A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719CBD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绩效指标</w:t>
            </w:r>
          </w:p>
          <w:p w14:paraId="3A14564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明确性</w:t>
            </w:r>
          </w:p>
          <w:p w14:paraId="5DB16E6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2C08F7C">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依据绩效目标设定的绩效指标是否清晰、细化、可衡量等，用以反映和考核</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绩效目标的明细化情况。</w:t>
            </w:r>
          </w:p>
          <w:p w14:paraId="442DAA6B">
            <w:pPr>
              <w:pStyle w:val="2"/>
              <w:shd w:val="clea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C35D26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30B854ED">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绩效目标细化分解为具体的绩效指标；</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441A260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②是否通过清晰、可衡量的指标值予以体现；</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2CE8DB1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③是否与</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目标任务数或计划数相对应。</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22D2DF6">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绩效目标设定的绩效指标</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未有</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清晰、可衡量的指标值</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扣</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5FB6ACA">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p>
        </w:tc>
      </w:tr>
      <w:tr w14:paraId="6D533C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noWrap/>
            <w:vAlign w:val="center"/>
          </w:tcPr>
          <w:p w14:paraId="5DB069D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restart"/>
            <w:tcBorders>
              <w:left w:val="outset" w:color="000000" w:sz="6" w:space="0"/>
              <w:right w:val="outset" w:color="000000" w:sz="6" w:space="0"/>
            </w:tcBorders>
            <w:shd w:val="clear" w:color="auto" w:fill="auto"/>
            <w:vAlign w:val="center"/>
          </w:tcPr>
          <w:p w14:paraId="7A5A46B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4728E45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64C5145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CED3E6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757F2B7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2BA9E4C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w:t>
            </w:r>
          </w:p>
          <w:p w14:paraId="0D6FBFD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管理（</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68F6D9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CC0550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预算编制</w:t>
            </w:r>
          </w:p>
          <w:p w14:paraId="284F34B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科学性</w:t>
            </w:r>
          </w:p>
          <w:p w14:paraId="12EAB9C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2316EB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预算编制是否</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依法依规，是否经过相应审批程序</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，用以反映和考核预算支出预算编制的科学性、合理性情况。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85BE179">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4488F1F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①预算编制</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是否依法依规，</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是否经过科学论证；</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717461D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②预算是否经过相应审批程序；</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1DC0F0B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③预算额度测算依据是否充分，是否按照标准编制；</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5791D10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④预算确定的</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资金量是否与工作任务相匹配。</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2D92491">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B1490B5">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p>
        </w:tc>
      </w:tr>
      <w:tr w14:paraId="2D513DA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vAlign w:val="center"/>
          </w:tcPr>
          <w:p w14:paraId="268542F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right w:val="outset" w:color="000000" w:sz="6" w:space="0"/>
            </w:tcBorders>
            <w:shd w:val="clear" w:color="auto" w:fill="auto"/>
            <w:vAlign w:val="center"/>
          </w:tcPr>
          <w:p w14:paraId="15CBB48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0BD409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基金预算收入资金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到位率</w:t>
            </w:r>
          </w:p>
          <w:p w14:paraId="7B88BDA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BCEF32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2FF250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A57041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实际到位资金与预算资金的比率，用以反映和考核资金落实情况对预算支出实施的总体保障程度。</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1100CC0">
            <w:pPr>
              <w:widowControl w:val="0"/>
              <w:numPr>
                <w:ilvl w:val="0"/>
                <w:numId w:val="0"/>
              </w:numPr>
              <w:shd w:val="clea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社会保险基金财务制度</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第三章 第十六条</w:t>
            </w:r>
            <w:r>
              <w:rPr>
                <w:rFonts w:hint="eastAsia" w:ascii="方正仿宋_GB2312" w:hAnsi="方正仿宋_GB2312" w:eastAsia="方正仿宋_GB2312" w:cs="方正仿宋_GB2312"/>
                <w:sz w:val="21"/>
                <w:szCs w:val="21"/>
                <w:lang w:eastAsia="zh-CN"/>
              </w:rPr>
              <w:t>）</w:t>
            </w:r>
          </w:p>
          <w:p w14:paraId="6FFA5802">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到位率=（实际到位资金/预算资金）×</w:t>
            </w:r>
            <w:r>
              <w:rPr>
                <w:rFonts w:hint="default" w:ascii="Times New Roman" w:hAnsi="Times New Roman" w:eastAsia="方正仿宋_GB2312" w:cs="Times New Roman"/>
                <w:sz w:val="21"/>
                <w:szCs w:val="21"/>
                <w:lang w:eastAsia="zh-CN"/>
              </w:rPr>
              <w:t>100</w:t>
            </w:r>
            <w:r>
              <w:rPr>
                <w:rFonts w:hint="eastAsia" w:ascii="方正仿宋_GB2312" w:hAnsi="方正仿宋_GB2312" w:eastAsia="方正仿宋_GB2312" w:cs="方正仿宋_GB2312"/>
                <w:sz w:val="21"/>
                <w:szCs w:val="21"/>
                <w:lang w:eastAsia="zh-CN"/>
              </w:rPr>
              <w:t>%。</w:t>
            </w:r>
          </w:p>
          <w:p w14:paraId="321CAE7D">
            <w:pPr>
              <w:widowControl w:val="0"/>
              <w:numPr>
                <w:ilvl w:val="0"/>
                <w:numId w:val="0"/>
              </w:numPr>
              <w:shd w:val="clear"/>
              <w:jc w:val="both"/>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default" w:ascii="Times New Roman" w:hAnsi="Times New Roman" w:eastAsia="方正仿宋_GB2312" w:cs="Times New Roman"/>
                <w:sz w:val="21"/>
                <w:szCs w:val="21"/>
                <w:lang w:eastAsia="zh-CN"/>
              </w:rPr>
              <w:t>80</w:t>
            </w:r>
            <w:r>
              <w:rPr>
                <w:rFonts w:hint="eastAsia" w:ascii="方正仿宋_GB2312" w:hAnsi="方正仿宋_GB2312" w:eastAsia="方正仿宋_GB2312" w:cs="方正仿宋_GB2312"/>
                <w:sz w:val="21"/>
                <w:szCs w:val="21"/>
                <w:lang w:eastAsia="zh-CN"/>
              </w:rPr>
              <w:t>%得</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eastAsia="zh-CN"/>
              </w:rPr>
              <w:t>分，</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lang w:eastAsia="zh-CN"/>
              </w:rPr>
              <w:t>0</w:t>
            </w:r>
            <w:r>
              <w:rPr>
                <w:rFonts w:hint="eastAsia" w:ascii="方正仿宋_GB2312" w:hAnsi="方正仿宋_GB2312" w:eastAsia="方正仿宋_GB2312" w:cs="方正仿宋_GB2312"/>
                <w:sz w:val="21"/>
                <w:szCs w:val="21"/>
                <w:lang w:eastAsia="zh-CN"/>
              </w:rPr>
              <w:t>%以下得</w:t>
            </w:r>
            <w:r>
              <w:rPr>
                <w:rFonts w:hint="default" w:ascii="Times New Roman" w:hAnsi="Times New Roman" w:eastAsia="方正仿宋_GB2312" w:cs="Times New Roman"/>
                <w:sz w:val="21"/>
                <w:szCs w:val="21"/>
                <w:lang w:eastAsia="zh-CN"/>
              </w:rPr>
              <w:t>0</w:t>
            </w:r>
            <w:r>
              <w:rPr>
                <w:rFonts w:hint="eastAsia" w:ascii="方正仿宋_GB2312" w:hAnsi="方正仿宋_GB2312" w:eastAsia="方正仿宋_GB2312" w:cs="方正仿宋_GB2312"/>
                <w:sz w:val="21"/>
                <w:szCs w:val="21"/>
                <w:lang w:eastAsia="zh-CN"/>
              </w:rPr>
              <w:t>分。</w:t>
            </w:r>
          </w:p>
          <w:p w14:paraId="1FA49055">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实际到位资金：一定时期（本年度或预算期）内落实到具体预算</w:t>
            </w:r>
            <w:r>
              <w:rPr>
                <w:rFonts w:hint="eastAsia" w:ascii="方正仿宋_GB2312" w:hAnsi="方正仿宋_GB2312" w:eastAsia="方正仿宋_GB2312" w:cs="方正仿宋_GB2312"/>
                <w:sz w:val="21"/>
                <w:szCs w:val="21"/>
                <w:lang w:val="en-US" w:eastAsia="zh-CN"/>
              </w:rPr>
              <w:t>收入</w:t>
            </w:r>
            <w:r>
              <w:rPr>
                <w:rFonts w:hint="eastAsia" w:ascii="方正仿宋_GB2312" w:hAnsi="方正仿宋_GB2312" w:eastAsia="方正仿宋_GB2312" w:cs="方正仿宋_GB2312"/>
                <w:sz w:val="21"/>
                <w:szCs w:val="21"/>
                <w:lang w:eastAsia="zh-CN"/>
              </w:rPr>
              <w:t>的资金。</w:t>
            </w:r>
          </w:p>
          <w:p w14:paraId="5B3104D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sz w:val="21"/>
                <w:szCs w:val="21"/>
                <w:lang w:eastAsia="zh-CN"/>
              </w:rPr>
              <w:t>预算资金：一定时期（本年度或预算支出期）内</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预算安排到具体预算</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收入</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的资金。</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449A009">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预算收入资金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到位率</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7BBDA97">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kern w:val="2"/>
                <w:sz w:val="21"/>
                <w:szCs w:val="21"/>
                <w:lang w:val="en-US" w:eastAsia="zh-CN" w:bidi="ar-SA"/>
                <w14:textFill>
                  <w14:solidFill>
                    <w14:schemeClr w14:val="tx1"/>
                  </w14:solidFill>
                </w14:textFill>
              </w:rPr>
              <w:t>3</w:t>
            </w:r>
          </w:p>
        </w:tc>
      </w:tr>
      <w:tr w14:paraId="2C8B46E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vAlign w:val="center"/>
          </w:tcPr>
          <w:p w14:paraId="3890FAEC">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right w:val="outset" w:color="000000" w:sz="6" w:space="0"/>
            </w:tcBorders>
            <w:shd w:val="clear" w:color="auto" w:fill="auto"/>
            <w:vAlign w:val="center"/>
          </w:tcPr>
          <w:p w14:paraId="48153C9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C3E5CAC">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支出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执行率</w:t>
            </w:r>
          </w:p>
          <w:p w14:paraId="2A14807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584B1AD">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预算资金是否按照计划执行，用以反映或考核预算支出预算执行情况。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8858D4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预算执行率=（实际支出资金/实际到位资金）×</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14:paraId="51A9FCB2">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default" w:ascii="Times New Roman" w:hAnsi="Times New Roman" w:eastAsia="方正仿宋_GB2312" w:cs="Times New Roman"/>
                <w:color w:val="000000"/>
                <w:sz w:val="21"/>
                <w:szCs w:val="21"/>
              </w:rPr>
              <w:t>80</w:t>
            </w:r>
            <w:r>
              <w:rPr>
                <w:rFonts w:hint="eastAsia" w:ascii="方正仿宋_GB2312" w:hAnsi="方正仿宋_GB2312" w:eastAsia="方正仿宋_GB2312" w:cs="方正仿宋_GB2312"/>
                <w:color w:val="000000"/>
                <w:sz w:val="21"/>
                <w:szCs w:val="21"/>
              </w:rPr>
              <w:t>%得</w:t>
            </w:r>
            <w:r>
              <w:rPr>
                <w:rFonts w:hint="default" w:ascii="Times New Roman" w:hAnsi="Times New Roman" w:eastAsia="方正仿宋_GB2312" w:cs="Times New Roman"/>
                <w:color w:val="000000"/>
                <w:sz w:val="21"/>
                <w:szCs w:val="21"/>
                <w:lang w:val="en-US" w:eastAsia="zh-CN"/>
              </w:rPr>
              <w:t>1</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8</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分</w:t>
            </w:r>
          </w:p>
          <w:p w14:paraId="72FE37A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实际支出资金：一定时期（本年度或预算支出期）内预算支出实际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支付</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的资金。</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6C78D12">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061C68E">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5A606E4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vAlign w:val="center"/>
          </w:tcPr>
          <w:p w14:paraId="7626296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bottom w:val="outset" w:color="000000" w:sz="6" w:space="0"/>
              <w:right w:val="outset" w:color="000000" w:sz="6" w:space="0"/>
            </w:tcBorders>
            <w:shd w:val="clear" w:color="auto" w:fill="auto"/>
            <w:vAlign w:val="center"/>
          </w:tcPr>
          <w:p w14:paraId="42F536B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32A253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2903EA5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C8DD89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4DE75DD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基金预算收支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合规性</w:t>
            </w:r>
          </w:p>
          <w:p w14:paraId="457FEE8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443CCE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4EE9537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3F632E82">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25A876E9">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基金预算</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是否符合相关</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法规和</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财务管理制度规定，用以反映和考核基金预算</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收支</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的规范运行情况。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C1B51E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171F439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①是否符合国家</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相关法律</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法规和财务管理制度的规定；</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1A6CCB3B">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②是否有完整的审批程序和手续；</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4199DEB9">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③是否符合预算批复或规定的用途；</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社会保险基金财务制度</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5A843AF1">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④</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是否存在截留、挤占、挪用、私自减免、多征等情况；</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559B8685">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⑤是否存在以物抵费的情况；</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6CCBA31B">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⑥结余预留是否符合相关规定。</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73B02A1">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3E300E8C">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预算收支符合规定，不扣分。</w:t>
            </w:r>
          </w:p>
          <w:p w14:paraId="1CC33AB3">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089C4FA">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95EA2BF">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6D623E42">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6FBBE43">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4B1D56D4">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57CCE464">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036" w:hRule="atLeast"/>
        </w:trPr>
        <w:tc>
          <w:tcPr>
            <w:tcW w:w="420" w:type="pct"/>
            <w:vMerge w:val="continue"/>
            <w:tcBorders>
              <w:left w:val="outset" w:color="000000" w:sz="6" w:space="0"/>
              <w:right w:val="outset" w:color="000000" w:sz="6" w:space="0"/>
            </w:tcBorders>
            <w:shd w:val="clear" w:color="auto" w:fill="auto"/>
            <w:vAlign w:val="center"/>
          </w:tcPr>
          <w:p w14:paraId="3894DFA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59A43AC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4660FF8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044D24D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7569C34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6D5842F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政策</w:t>
            </w:r>
          </w:p>
          <w:p w14:paraId="2A9E9EA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执行</w:t>
            </w:r>
          </w:p>
          <w:p w14:paraId="68E50DC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115782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政策执行</w:t>
            </w:r>
          </w:p>
          <w:p w14:paraId="51F4ADB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全面</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性</w:t>
            </w:r>
          </w:p>
          <w:p w14:paraId="767C3149">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B9EEA5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基金管理</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单位</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执行相关法律法规和财务</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管理制度是否</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全面</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，用以反映和考核</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政策执行</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对</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收</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支顺利实施的保障情况。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0BA318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4488225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本单位</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是否已制定或具有相应的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业务、财务</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管理制度；</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08808CBE">
            <w:pPr>
              <w:pStyle w:val="2"/>
              <w:shd w:val="clea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②业务管理制度是否</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符合相关法律法规和上级管理制度。（</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B40B66C">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法律法规和财务</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管理制度</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全面，不扣分。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4CF0CC7">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2BB737E6">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0" w:hRule="atLeast"/>
        </w:trPr>
        <w:tc>
          <w:tcPr>
            <w:tcW w:w="420" w:type="pct"/>
            <w:vMerge w:val="continue"/>
            <w:tcBorders>
              <w:left w:val="outset" w:color="000000" w:sz="6" w:space="0"/>
              <w:right w:val="outset" w:color="000000" w:sz="6" w:space="0"/>
            </w:tcBorders>
            <w:shd w:val="clear" w:color="auto" w:fill="auto"/>
            <w:vAlign w:val="center"/>
          </w:tcPr>
          <w:p w14:paraId="717F8B4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09B0605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E10E64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政策</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执行</w:t>
            </w:r>
          </w:p>
          <w:p w14:paraId="3B59C0A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有效性</w:t>
            </w:r>
          </w:p>
          <w:p w14:paraId="59A5D99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456D6D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预算支出是否符合相关业务管理规定，用以反映和考核业务管理制度的有效执行情况。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458DAF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评价要点：</w:t>
            </w:r>
          </w:p>
          <w:p w14:paraId="1C09DC8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①是否遵守相关法律法规和相关管理规定；</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3F9A61C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②预算支出调整及支出调整手续是否完备；</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p w14:paraId="76A9BE2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③预算支出</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相关</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资料是否齐全并及时归档；</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DF88AAE">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预算支出符合相关业务管理规定</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79D6E482">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04E391B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621" w:hRule="atLeast"/>
        </w:trPr>
        <w:tc>
          <w:tcPr>
            <w:tcW w:w="420" w:type="pct"/>
            <w:vMerge w:val="restart"/>
            <w:tcBorders>
              <w:top w:val="outset" w:color="000000" w:sz="6" w:space="0"/>
              <w:left w:val="outset" w:color="000000" w:sz="6" w:space="0"/>
              <w:right w:val="outset" w:color="000000" w:sz="6" w:space="0"/>
            </w:tcBorders>
            <w:shd w:val="clear" w:color="auto" w:fill="auto"/>
            <w:noWrap/>
            <w:vAlign w:val="center"/>
          </w:tcPr>
          <w:p w14:paraId="263358F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w:t>
            </w:r>
          </w:p>
          <w:p w14:paraId="2D34FFA2">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5435BDE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33B3D18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出</w:t>
            </w:r>
          </w:p>
          <w:p w14:paraId="41CBC28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28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FA1C48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3649E77B">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B09F74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14:paraId="4A7438C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数量</w:t>
            </w:r>
          </w:p>
          <w:p w14:paraId="3B2CAF3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09D199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05BC0A7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w:t>
            </w:r>
          </w:p>
          <w:p w14:paraId="065CB93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完成率</w:t>
            </w:r>
          </w:p>
          <w:p w14:paraId="5003C66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903EFB8">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基金支出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金额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与计划</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金额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的比率，用以反映和考核</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预算支出产出数量目标的实现程度。</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5D79627">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实际完成率=（实际数/计划数）×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14:paraId="0C718B2F">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sz w:val="21"/>
                <w:szCs w:val="21"/>
              </w:rPr>
              <w:t>80</w:t>
            </w:r>
            <w:r>
              <w:rPr>
                <w:rFonts w:hint="eastAsia" w:ascii="方正仿宋_GB2312" w:hAnsi="方正仿宋_GB2312" w:eastAsia="方正仿宋_GB2312" w:cs="方正仿宋_GB2312"/>
                <w:color w:val="000000"/>
                <w:sz w:val="21"/>
                <w:szCs w:val="21"/>
              </w:rPr>
              <w:t>%得</w:t>
            </w:r>
            <w:r>
              <w:rPr>
                <w:rFonts w:hint="default" w:ascii="Times New Roman" w:hAnsi="Times New Roman" w:eastAsia="方正仿宋_GB2312" w:cs="Times New Roman"/>
                <w:color w:val="000000"/>
                <w:sz w:val="21"/>
                <w:szCs w:val="21"/>
                <w:lang w:val="en-US" w:eastAsia="zh-CN"/>
              </w:rPr>
              <w:t>5</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8</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w:t>
            </w:r>
            <w:r>
              <w:rPr>
                <w:rFonts w:hint="eastAsia" w:ascii="方正仿宋_GB2312" w:hAnsi="方正仿宋_GB2312" w:eastAsia="方正仿宋_GB2312" w:cs="方正仿宋_GB2312"/>
                <w:color w:val="000000"/>
                <w:sz w:val="21"/>
                <w:szCs w:val="21"/>
                <w:lang w:val="en-US" w:eastAsia="zh-CN"/>
              </w:rPr>
              <w:t>-</w:t>
            </w:r>
            <w:r>
              <w:rPr>
                <w:rFonts w:hint="default" w:ascii="Times New Roman" w:hAnsi="Times New Roman" w:eastAsia="方正仿宋_GB2312" w:cs="Times New Roman"/>
                <w:color w:val="000000"/>
                <w:sz w:val="21"/>
                <w:szCs w:val="21"/>
                <w:lang w:val="en-US" w:eastAsia="zh-CN"/>
              </w:rPr>
              <w:t>60</w:t>
            </w:r>
            <w:r>
              <w:rPr>
                <w:rFonts w:hint="eastAsia" w:ascii="方正仿宋_GB2312" w:hAnsi="方正仿宋_GB2312" w:eastAsia="方正仿宋_GB2312" w:cs="方正仿宋_GB2312"/>
                <w:color w:val="000000"/>
                <w:sz w:val="21"/>
                <w:szCs w:val="21"/>
                <w:lang w:val="en-US" w:eastAsia="zh-CN"/>
              </w:rPr>
              <w:t>%</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lang w:val="en-US" w:eastAsia="zh-CN"/>
              </w:rPr>
              <w:t>3</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6</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分</w:t>
            </w:r>
          </w:p>
          <w:p w14:paraId="51B833C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实际数：一定时期（本年度或预算支出期）内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基金支出</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人数</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或</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金额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14:paraId="44D7F2F9">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计划数：</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预算支出绩效目标确定的在一定时期（本年度或预算支出期）内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计划支付实际人数或金额。</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CFE23F0">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7A7F846">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14:paraId="0C31BBD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153" w:hRule="atLeast"/>
        </w:trPr>
        <w:tc>
          <w:tcPr>
            <w:tcW w:w="420" w:type="pct"/>
            <w:vMerge w:val="continue"/>
            <w:tcBorders>
              <w:left w:val="outset" w:color="000000" w:sz="6" w:space="0"/>
              <w:right w:val="outset" w:color="000000" w:sz="6" w:space="0"/>
            </w:tcBorders>
            <w:shd w:val="clear" w:color="auto" w:fill="auto"/>
            <w:noWrap/>
            <w:vAlign w:val="center"/>
          </w:tcPr>
          <w:p w14:paraId="1EC884A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6D4F8C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1D54282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14:paraId="1C94367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质量</w:t>
            </w:r>
          </w:p>
          <w:p w14:paraId="6B2998D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40029EA">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4D04A6B6">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质量</w:t>
            </w:r>
          </w:p>
          <w:p w14:paraId="1369308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达标率</w:t>
            </w:r>
          </w:p>
          <w:p w14:paraId="579289F9">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vMerge w:val="restart"/>
            <w:tcBorders>
              <w:top w:val="outset" w:color="000000" w:sz="6" w:space="0"/>
              <w:left w:val="outset" w:color="000000" w:sz="6" w:space="0"/>
              <w:right w:val="outset" w:color="000000" w:sz="6" w:space="0"/>
            </w:tcBorders>
            <w:shd w:val="clear" w:color="auto" w:fill="auto"/>
            <w:vAlign w:val="center"/>
          </w:tcPr>
          <w:p w14:paraId="3B4D85A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p>
          <w:p w14:paraId="0EF4D60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基金按标准</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及时</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足额保障参保人员待遇支出</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的人数、金额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与实际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发放的总</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人数、金额的比率，用以反映和考核</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预算支出产出质量目标</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和时效目标</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的实现程度。</w:t>
            </w:r>
          </w:p>
        </w:tc>
        <w:tc>
          <w:tcPr>
            <w:tcW w:w="1413" w:type="pct"/>
            <w:vMerge w:val="restart"/>
            <w:tcBorders>
              <w:top w:val="outset" w:color="000000" w:sz="6" w:space="0"/>
              <w:left w:val="outset" w:color="000000" w:sz="6" w:space="0"/>
              <w:right w:val="outset" w:color="000000" w:sz="6" w:space="0"/>
            </w:tcBorders>
            <w:shd w:val="clear" w:color="auto" w:fill="auto"/>
            <w:vAlign w:val="center"/>
          </w:tcPr>
          <w:p w14:paraId="33DF63E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比</w:t>
            </w:r>
            <w:r>
              <w:rPr>
                <w:rFonts w:hint="eastAsia" w:ascii="方正仿宋_GB2312" w:hAnsi="方正仿宋_GB2312" w:eastAsia="方正仿宋_GB2312" w:cs="方正仿宋_GB2312"/>
                <w:color w:val="000000" w:themeColor="text1"/>
                <w:sz w:val="21"/>
                <w:szCs w:val="21"/>
                <w14:textFill>
                  <w14:solidFill>
                    <w14:schemeClr w14:val="tx1"/>
                  </w14:solidFill>
                </w14:textFill>
              </w:rPr>
              <w:t>率=（</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及时足额发放</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数/实际数）×</w:t>
            </w:r>
            <w:r>
              <w:rPr>
                <w:rFonts w:hint="default" w:ascii="Times New Roman" w:hAnsi="Times New Roman" w:eastAsia="方正仿宋_GB2312" w:cs="Times New Roman"/>
                <w:color w:val="000000" w:themeColor="text1"/>
                <w:sz w:val="21"/>
                <w:szCs w:val="21"/>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14:paraId="78344439">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sz w:val="21"/>
                <w:szCs w:val="21"/>
              </w:rPr>
              <w:t>80</w:t>
            </w:r>
            <w:r>
              <w:rPr>
                <w:rFonts w:hint="eastAsia" w:ascii="方正仿宋_GB2312" w:hAnsi="方正仿宋_GB2312" w:eastAsia="方正仿宋_GB2312" w:cs="方正仿宋_GB2312"/>
                <w:color w:val="000000"/>
                <w:sz w:val="21"/>
                <w:szCs w:val="21"/>
              </w:rPr>
              <w:t>%得</w:t>
            </w:r>
            <w:r>
              <w:rPr>
                <w:rFonts w:hint="default" w:ascii="Times New Roman" w:hAnsi="Times New Roman" w:eastAsia="方正仿宋_GB2312" w:cs="Times New Roman"/>
                <w:color w:val="000000"/>
                <w:sz w:val="21"/>
                <w:szCs w:val="21"/>
                <w:lang w:val="en-US" w:eastAsia="zh-CN"/>
              </w:rPr>
              <w:t>5</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8</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w:t>
            </w:r>
            <w:r>
              <w:rPr>
                <w:rFonts w:hint="eastAsia" w:ascii="方正仿宋_GB2312" w:hAnsi="方正仿宋_GB2312" w:eastAsia="方正仿宋_GB2312" w:cs="方正仿宋_GB2312"/>
                <w:color w:val="000000"/>
                <w:sz w:val="21"/>
                <w:szCs w:val="21"/>
                <w:lang w:val="en-US" w:eastAsia="zh-CN"/>
              </w:rPr>
              <w:t>-</w:t>
            </w:r>
            <w:r>
              <w:rPr>
                <w:rFonts w:hint="default" w:ascii="Times New Roman" w:hAnsi="Times New Roman" w:eastAsia="方正仿宋_GB2312" w:cs="Times New Roman"/>
                <w:color w:val="000000"/>
                <w:sz w:val="21"/>
                <w:szCs w:val="21"/>
                <w:lang w:val="en-US" w:eastAsia="zh-CN"/>
              </w:rPr>
              <w:t>60</w:t>
            </w:r>
            <w:r>
              <w:rPr>
                <w:rFonts w:hint="eastAsia" w:ascii="方正仿宋_GB2312" w:hAnsi="方正仿宋_GB2312" w:eastAsia="方正仿宋_GB2312" w:cs="方正仿宋_GB2312"/>
                <w:color w:val="000000"/>
                <w:sz w:val="21"/>
                <w:szCs w:val="21"/>
                <w:lang w:val="en-US" w:eastAsia="zh-CN"/>
              </w:rPr>
              <w:t>%</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lang w:val="en-US" w:eastAsia="zh-CN"/>
              </w:rPr>
              <w:t>3</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6</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分</w:t>
            </w:r>
          </w:p>
          <w:p w14:paraId="330ED81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及时足额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发放数：一定时期（本年度或预算支出期）内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及时足额发放的人数</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或</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金额</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p w14:paraId="32808413">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实际数</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：一定时期（本年度或预算支出期）内</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实际</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发放的</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总</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人数或金额。</w:t>
            </w:r>
          </w:p>
        </w:tc>
        <w:tc>
          <w:tcPr>
            <w:tcW w:w="968" w:type="pct"/>
            <w:tcBorders>
              <w:top w:val="outset" w:color="000000" w:sz="6" w:space="0"/>
              <w:left w:val="outset" w:color="000000" w:sz="6" w:space="0"/>
              <w:right w:val="outset" w:color="000000" w:sz="6" w:space="0"/>
            </w:tcBorders>
            <w:shd w:val="clear" w:color="auto" w:fill="auto"/>
            <w:vAlign w:val="center"/>
          </w:tcPr>
          <w:p w14:paraId="45EA0000">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52CC0A3A">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right w:val="outset" w:color="000000" w:sz="6" w:space="0"/>
            </w:tcBorders>
            <w:shd w:val="clear" w:color="auto" w:fill="auto"/>
            <w:vAlign w:val="center"/>
          </w:tcPr>
          <w:p w14:paraId="1BA93946">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1E77C2D9">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14:paraId="484A6BFB">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noWrap/>
            <w:vAlign w:val="center"/>
          </w:tcPr>
          <w:p w14:paraId="5B89385C">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7D48AD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产出</w:t>
            </w:r>
          </w:p>
          <w:p w14:paraId="5241985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时效</w:t>
            </w:r>
          </w:p>
          <w:p w14:paraId="39B34DA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A2669D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完成</w:t>
            </w:r>
          </w:p>
          <w:p w14:paraId="38F26563">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及时</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率</w:t>
            </w:r>
          </w:p>
          <w:p w14:paraId="1CAFB276">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1262" w:type="pct"/>
            <w:vMerge w:val="continue"/>
            <w:tcBorders>
              <w:left w:val="outset" w:color="000000" w:sz="6" w:space="0"/>
              <w:bottom w:val="outset" w:color="000000" w:sz="6" w:space="0"/>
              <w:right w:val="outset" w:color="000000" w:sz="6" w:space="0"/>
            </w:tcBorders>
            <w:shd w:val="clear" w:color="auto" w:fill="auto"/>
            <w:vAlign w:val="center"/>
          </w:tcPr>
          <w:p w14:paraId="279BB0B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1413" w:type="pct"/>
            <w:vMerge w:val="continue"/>
            <w:tcBorders>
              <w:left w:val="outset" w:color="000000" w:sz="6" w:space="0"/>
              <w:bottom w:val="outset" w:color="000000" w:sz="6" w:space="0"/>
              <w:right w:val="outset" w:color="000000" w:sz="6" w:space="0"/>
            </w:tcBorders>
            <w:shd w:val="clear" w:color="auto" w:fill="auto"/>
            <w:vAlign w:val="center"/>
          </w:tcPr>
          <w:p w14:paraId="590EECC4">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968" w:type="pct"/>
            <w:tcBorders>
              <w:left w:val="outset" w:color="000000" w:sz="6" w:space="0"/>
              <w:bottom w:val="outset" w:color="000000" w:sz="6" w:space="0"/>
              <w:right w:val="outset" w:color="000000" w:sz="6" w:space="0"/>
            </w:tcBorders>
            <w:shd w:val="clear" w:color="auto" w:fill="auto"/>
            <w:vAlign w:val="center"/>
          </w:tcPr>
          <w:p w14:paraId="77B3516F">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left w:val="outset" w:color="000000" w:sz="6" w:space="0"/>
              <w:bottom w:val="outset" w:color="000000" w:sz="6" w:space="0"/>
              <w:right w:val="outset" w:color="000000" w:sz="6" w:space="0"/>
            </w:tcBorders>
            <w:shd w:val="clear" w:color="auto" w:fill="auto"/>
            <w:vAlign w:val="center"/>
          </w:tcPr>
          <w:p w14:paraId="0A90EC98">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14:paraId="7C7C6BE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1137" w:hRule="atLeast"/>
        </w:trPr>
        <w:tc>
          <w:tcPr>
            <w:tcW w:w="420" w:type="pct"/>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14:paraId="64B3875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w:t>
            </w:r>
          </w:p>
          <w:p w14:paraId="1E5D9FD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6EB3478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p>
          <w:p w14:paraId="168F7DF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益</w:t>
            </w:r>
          </w:p>
          <w:p w14:paraId="7226814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288"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14:paraId="4485C8D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p>
          <w:p w14:paraId="4E59E7A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w:t>
            </w:r>
          </w:p>
          <w:p w14:paraId="49D1E64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支出</w:t>
            </w:r>
          </w:p>
          <w:p w14:paraId="712E6955">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效</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益</w:t>
            </w:r>
          </w:p>
          <w:p w14:paraId="7F887514">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30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D50D7E9">
            <w:pPr>
              <w:widowControl w:val="0"/>
              <w:numPr>
                <w:ilvl w:val="0"/>
                <w:numId w:val="0"/>
              </w:numPr>
              <w:shd w:val="clea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社会效益</w:t>
            </w:r>
          </w:p>
          <w:p w14:paraId="41CCF490">
            <w:pPr>
              <w:widowControl w:val="0"/>
              <w:numPr>
                <w:ilvl w:val="0"/>
                <w:numId w:val="0"/>
              </w:numPr>
              <w:shd w:val="clea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817630F">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在</w:t>
            </w:r>
            <w:r>
              <w:rPr>
                <w:rFonts w:hint="eastAsia" w:ascii="方正仿宋_GB2312" w:hAnsi="方正仿宋_GB2312" w:eastAsia="方正仿宋_GB2312" w:cs="方正仿宋_GB2312"/>
                <w:color w:val="000000" w:themeColor="text1"/>
                <w:sz w:val="21"/>
                <w:szCs w:val="21"/>
                <w14:textFill>
                  <w14:solidFill>
                    <w14:schemeClr w14:val="tx1"/>
                  </w14:solidFill>
                </w14:textFill>
              </w:rPr>
              <w:t>保障机关事业单位基本养老保险待遇，维护社会稳定</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方面的效益情况</w:t>
            </w:r>
            <w:r>
              <w:rPr>
                <w:rFonts w:hint="eastAsia" w:ascii="方正仿宋_GB2312" w:hAnsi="方正仿宋_GB2312" w:eastAsia="方正仿宋_GB2312" w:cs="方正仿宋_GB2312"/>
                <w:color w:val="000000" w:themeColor="text1"/>
                <w:sz w:val="21"/>
                <w:szCs w:val="21"/>
                <w14:textFill>
                  <w14:solidFill>
                    <w14:schemeClr w14:val="tx1"/>
                  </w14:solidFill>
                </w14:textFill>
              </w:rPr>
              <w:t>。</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5B52C2F">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评价要点：</w:t>
            </w:r>
          </w:p>
          <w:p w14:paraId="470780FE">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①预算支出是否有利于社会稳定；</w:t>
            </w:r>
          </w:p>
          <w:p w14:paraId="2ADAB39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sz w:val="21"/>
                <w:szCs w:val="21"/>
                <w:lang w:eastAsia="zh-CN"/>
              </w:rPr>
              <w:t>②预算支出是否改善居民的养老、医疗、就业压力</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6468C14">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2FDD13C">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14:paraId="6C7CC3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0" w:hRule="atLeast"/>
        </w:trPr>
        <w:tc>
          <w:tcPr>
            <w:tcW w:w="420" w:type="pct"/>
            <w:vMerge w:val="continue"/>
            <w:tcBorders>
              <w:left w:val="outset" w:color="000000" w:sz="6" w:space="0"/>
              <w:right w:val="outset" w:color="000000" w:sz="6" w:space="0"/>
            </w:tcBorders>
            <w:shd w:val="clear" w:color="auto" w:fill="auto"/>
            <w:noWrap/>
            <w:vAlign w:val="center"/>
          </w:tcPr>
          <w:p w14:paraId="677A70CC">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right w:val="outset" w:color="000000" w:sz="6" w:space="0"/>
            </w:tcBorders>
            <w:shd w:val="clear" w:color="auto" w:fill="auto"/>
            <w:vAlign w:val="center"/>
          </w:tcPr>
          <w:p w14:paraId="2C93C0D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C39AE10">
            <w:pPr>
              <w:widowControl w:val="0"/>
              <w:numPr>
                <w:ilvl w:val="0"/>
                <w:numId w:val="0"/>
              </w:numPr>
              <w:shd w:val="clear"/>
              <w:ind w:firstLine="210" w:firstLineChars="100"/>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经济效益</w:t>
            </w:r>
          </w:p>
          <w:p w14:paraId="4FE0BFF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C5B5BB2">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sz w:val="21"/>
                <w:szCs w:val="21"/>
                <w:lang w:val="en-US" w:eastAsia="zh-CN"/>
              </w:rPr>
              <w:t>基金</w:t>
            </w:r>
            <w:r>
              <w:rPr>
                <w:rFonts w:hint="eastAsia" w:ascii="方正仿宋_GB2312" w:hAnsi="方正仿宋_GB2312" w:eastAsia="方正仿宋_GB2312" w:cs="方正仿宋_GB2312"/>
                <w:sz w:val="21"/>
                <w:szCs w:val="21"/>
              </w:rPr>
              <w:t>预算支出实施所产生的</w:t>
            </w:r>
            <w:r>
              <w:rPr>
                <w:rFonts w:hint="eastAsia" w:ascii="方正仿宋_GB2312" w:hAnsi="方正仿宋_GB2312" w:eastAsia="方正仿宋_GB2312" w:cs="方正仿宋_GB2312"/>
                <w:sz w:val="21"/>
                <w:szCs w:val="21"/>
                <w:lang w:val="en-US" w:eastAsia="zh-CN"/>
              </w:rPr>
              <w:t>经济</w:t>
            </w:r>
            <w:r>
              <w:rPr>
                <w:rFonts w:hint="eastAsia" w:ascii="方正仿宋_GB2312" w:hAnsi="方正仿宋_GB2312" w:eastAsia="方正仿宋_GB2312" w:cs="方正仿宋_GB2312"/>
                <w:sz w:val="21"/>
                <w:szCs w:val="21"/>
              </w:rPr>
              <w:t>效益情况。</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0ADAA91">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评价要点：</w:t>
            </w:r>
          </w:p>
          <w:p w14:paraId="1EB68C4E">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①预算支出是否拉动经济需求；（</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p w14:paraId="74E55C09">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sz w:val="21"/>
                <w:szCs w:val="21"/>
                <w:lang w:eastAsia="zh-CN"/>
              </w:rPr>
              <w:t>②预算支出是否减少（</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ADB5E39">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74D23F3">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p>
        </w:tc>
      </w:tr>
      <w:tr w14:paraId="68A0CA1F">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420" w:type="pct"/>
            <w:vMerge w:val="continue"/>
            <w:tcBorders>
              <w:left w:val="outset" w:color="000000" w:sz="6" w:space="0"/>
              <w:right w:val="outset" w:color="000000" w:sz="6" w:space="0"/>
            </w:tcBorders>
            <w:shd w:val="clear" w:color="auto" w:fill="auto"/>
            <w:noWrap/>
            <w:vAlign w:val="center"/>
          </w:tcPr>
          <w:p w14:paraId="273F37DE">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left w:val="outset" w:color="000000" w:sz="6" w:space="0"/>
              <w:right w:val="outset" w:color="000000" w:sz="6" w:space="0"/>
            </w:tcBorders>
            <w:shd w:val="clear" w:color="auto" w:fill="auto"/>
            <w:vAlign w:val="center"/>
          </w:tcPr>
          <w:p w14:paraId="7A057C6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9B09A8D">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可持续</w:t>
            </w:r>
          </w:p>
          <w:p w14:paraId="7D7C340E">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影响</w:t>
            </w:r>
          </w:p>
          <w:p w14:paraId="72A9BD1B">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4EAD8249">
            <w:pPr>
              <w:pStyle w:val="2"/>
              <w:rPr>
                <w:rFonts w:hint="eastAsia" w:ascii="方正仿宋_GB2312" w:hAnsi="方正仿宋_GB2312" w:eastAsia="方正仿宋_GB2312" w:cs="方正仿宋_GB2312"/>
                <w:sz w:val="21"/>
                <w:szCs w:val="21"/>
                <w:lang w:val="en-US" w:eastAsia="zh-CN"/>
              </w:rPr>
            </w:pPr>
          </w:p>
          <w:p w14:paraId="64329D6A">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p>
          <w:p w14:paraId="62947691">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基金运行效益</w:t>
            </w:r>
            <w:r>
              <w:rPr>
                <w:rFonts w:hint="eastAsia" w:ascii="方正仿宋_GB2312" w:hAnsi="方正仿宋_GB2312" w:eastAsia="方正仿宋_GB2312" w:cs="方正仿宋_GB2312"/>
                <w:color w:val="000000" w:themeColor="text1"/>
                <w:sz w:val="21"/>
                <w:szCs w:val="21"/>
                <w14:textFill>
                  <w14:solidFill>
                    <w14:schemeClr w14:val="tx1"/>
                  </w14:solidFill>
                </w14:textFill>
              </w:rPr>
              <w:t>是否支持区域发展战略。</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54A45C14">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评价要点：</w:t>
            </w:r>
          </w:p>
          <w:p w14:paraId="524AE201">
            <w:pPr>
              <w:widowControl w:val="0"/>
              <w:numPr>
                <w:ilvl w:val="0"/>
                <w:numId w:val="0"/>
              </w:numPr>
              <w:shd w:val="clea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eastAsia="zh-CN"/>
              </w:rPr>
              <w:t>①</w:t>
            </w:r>
            <w:r>
              <w:rPr>
                <w:rFonts w:hint="eastAsia" w:ascii="方正仿宋_GB2312" w:hAnsi="方正仿宋_GB2312" w:eastAsia="方正仿宋_GB2312" w:cs="方正仿宋_GB2312"/>
                <w:sz w:val="21"/>
                <w:szCs w:val="21"/>
                <w:lang w:val="en-US" w:eastAsia="zh-CN"/>
              </w:rPr>
              <w:t>基金运行效益是否能够持续稳定社会环境；（</w:t>
            </w:r>
            <w:r>
              <w:rPr>
                <w:rFonts w:hint="eastAsia"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p w14:paraId="7E5EF2A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sz w:val="21"/>
                <w:szCs w:val="21"/>
                <w:lang w:val="en-US" w:eastAsia="zh-CN"/>
              </w:rPr>
              <w:t>②基金运行效益是否能够（</w:t>
            </w:r>
            <w:r>
              <w:rPr>
                <w:rFonts w:hint="eastAsia"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3C916F8">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不扣分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0ABD9CC9">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p>
        </w:tc>
      </w:tr>
      <w:tr w14:paraId="425CD54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16" w:hRule="atLeast"/>
        </w:trPr>
        <w:tc>
          <w:tcPr>
            <w:tcW w:w="420"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14:paraId="7ABDC440">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288"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14:paraId="68DFA49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p>
        </w:tc>
        <w:tc>
          <w:tcPr>
            <w:tcW w:w="43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9D3A007">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社会公众</w:t>
            </w:r>
          </w:p>
          <w:p w14:paraId="01377698">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或服务对</w:t>
            </w:r>
          </w:p>
          <w:p w14:paraId="1F60E39F">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象满意度</w:t>
            </w:r>
          </w:p>
          <w:p w14:paraId="4F9D8F61">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w:t>
            </w:r>
          </w:p>
        </w:tc>
        <w:tc>
          <w:tcPr>
            <w:tcW w:w="1262"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2BB7D46">
            <w:pPr>
              <w:widowControl w:val="0"/>
              <w:numPr>
                <w:ilvl w:val="0"/>
                <w:numId w:val="0"/>
              </w:numPr>
              <w:shd w:val="clear"/>
              <w:jc w:val="both"/>
              <w:rPr>
                <w:rFonts w:hint="eastAsia" w:ascii="方正仿宋_GB2312" w:hAnsi="方正仿宋_GB2312" w:eastAsia="方正仿宋_GB2312" w:cs="方正仿宋_GB2312"/>
                <w:color w:val="000000" w:themeColor="text1"/>
                <w:sz w:val="21"/>
                <w:szCs w:val="21"/>
                <w14:textFill>
                  <w14:solidFill>
                    <w14:schemeClr w14:val="tx1"/>
                  </w14:solidFill>
                </w14:textFill>
              </w:rPr>
            </w:pPr>
            <w:r>
              <w:rPr>
                <w:rFonts w:hint="eastAsia" w:ascii="方正仿宋_GB2312" w:hAnsi="方正仿宋_GB2312" w:eastAsia="方正仿宋_GB2312" w:cs="方正仿宋_GB2312"/>
                <w:color w:val="000000" w:themeColor="text1"/>
                <w:sz w:val="21"/>
                <w:szCs w:val="21"/>
                <w14:textFill>
                  <w14:solidFill>
                    <w14:schemeClr w14:val="tx1"/>
                  </w14:solidFill>
                </w14:textFill>
              </w:rPr>
              <w:t>服务对象对</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基金</w:t>
            </w:r>
            <w:r>
              <w:rPr>
                <w:rFonts w:hint="eastAsia" w:ascii="方正仿宋_GB2312" w:hAnsi="方正仿宋_GB2312" w:eastAsia="方正仿宋_GB2312" w:cs="方正仿宋_GB2312"/>
                <w:color w:val="000000" w:themeColor="text1"/>
                <w:sz w:val="21"/>
                <w:szCs w:val="21"/>
                <w14:textFill>
                  <w14:solidFill>
                    <w14:schemeClr w14:val="tx1"/>
                  </w14:solidFill>
                </w14:textFill>
              </w:rPr>
              <w:t>预算支出实施效果的满意程度。</w:t>
            </w:r>
          </w:p>
        </w:tc>
        <w:tc>
          <w:tcPr>
            <w:tcW w:w="1413" w:type="pct"/>
            <w:tcBorders>
              <w:top w:val="outset" w:color="000000" w:sz="6" w:space="0"/>
              <w:left w:val="outset" w:color="000000" w:sz="6" w:space="0"/>
              <w:bottom w:val="outset" w:color="000000" w:sz="6" w:space="0"/>
              <w:right w:val="outset" w:color="000000" w:sz="6" w:space="0"/>
            </w:tcBorders>
            <w:shd w:val="clear" w:color="auto" w:fill="auto"/>
            <w:vAlign w:val="center"/>
          </w:tcPr>
          <w:p w14:paraId="2B335750">
            <w:pPr>
              <w:widowControl w:val="0"/>
              <w:numPr>
                <w:ilvl w:val="0"/>
                <w:numId w:val="0"/>
              </w:numPr>
              <w:shd w:val="clea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eastAsia="zh-CN"/>
              </w:rPr>
              <w:t>评价要点：</w:t>
            </w:r>
          </w:p>
          <w:p w14:paraId="4A3610B5">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机关事业单位退休人员满意度</w:t>
            </w:r>
            <w:r>
              <w:rPr>
                <w:rFonts w:hint="eastAsia" w:ascii="方正仿宋_GB2312" w:hAnsi="方正仿宋_GB2312" w:eastAsia="方正仿宋_GB2312" w:cs="方正仿宋_GB2312"/>
                <w:sz w:val="21"/>
                <w:szCs w:val="21"/>
                <w:lang w:eastAsia="zh-CN"/>
              </w:rPr>
              <w:t>；</w:t>
            </w:r>
          </w:p>
          <w:p w14:paraId="01083F24">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机关事业单位基本养老保险参保人员满意度</w:t>
            </w:r>
            <w:r>
              <w:rPr>
                <w:rFonts w:hint="eastAsia" w:ascii="方正仿宋_GB2312" w:hAnsi="方正仿宋_GB2312" w:eastAsia="方正仿宋_GB2312" w:cs="方正仿宋_GB2312"/>
                <w:sz w:val="21"/>
                <w:szCs w:val="21"/>
                <w:lang w:eastAsia="zh-CN"/>
              </w:rPr>
              <w:t>；</w:t>
            </w:r>
          </w:p>
          <w:p w14:paraId="66A124C1">
            <w:pPr>
              <w:widowControl w:val="0"/>
              <w:numPr>
                <w:ilvl w:val="0"/>
                <w:numId w:val="0"/>
              </w:numPr>
              <w:shd w:val="clea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满意度=满意人数/被调查人数*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14:paraId="159865F4">
            <w:pPr>
              <w:widowControl w:val="0"/>
              <w:numPr>
                <w:ilvl w:val="0"/>
                <w:numId w:val="0"/>
              </w:numPr>
              <w:shd w:val="clear"/>
              <w:jc w:val="both"/>
              <w:rPr>
                <w:rFonts w:hint="eastAsia" w:ascii="方正仿宋_GB2312" w:hAnsi="方正仿宋_GB2312" w:eastAsia="方正仿宋_GB2312" w:cs="方正仿宋_GB2312"/>
                <w:sz w:val="21"/>
                <w:szCs w:val="21"/>
                <w:lang w:eastAsia="zh-CN"/>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100</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%计</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9</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w:t>
            </w:r>
            <w:r>
              <w:rPr>
                <w:rFonts w:hint="eastAsia" w:ascii="方正仿宋_GB2312" w:hAnsi="方正仿宋_GB2312" w:eastAsia="方正仿宋_GB2312" w:cs="方正仿宋_GB2312"/>
                <w:color w:val="000000"/>
                <w:sz w:val="21"/>
                <w:szCs w:val="21"/>
                <w:lang w:val="en-US" w:eastAsia="zh-CN"/>
              </w:rPr>
              <w:t>以上</w:t>
            </w:r>
            <w:r>
              <w:rPr>
                <w:rFonts w:hint="eastAsia" w:ascii="方正仿宋_GB2312" w:hAnsi="方正仿宋_GB2312" w:eastAsia="方正仿宋_GB2312" w:cs="方正仿宋_GB2312"/>
                <w:color w:val="000000"/>
                <w:sz w:val="21"/>
                <w:szCs w:val="21"/>
              </w:rPr>
              <w:t>得</w:t>
            </w:r>
            <w:r>
              <w:rPr>
                <w:rFonts w:hint="default" w:ascii="Times New Roman" w:hAnsi="Times New Roman" w:eastAsia="方正仿宋_GB2312" w:cs="Times New Roman"/>
                <w:color w:val="000000"/>
                <w:sz w:val="21"/>
                <w:szCs w:val="21"/>
                <w:lang w:val="en-US" w:eastAsia="zh-CN"/>
              </w:rPr>
              <w:t>4</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9</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w:t>
            </w:r>
            <w:r>
              <w:rPr>
                <w:rFonts w:hint="eastAsia" w:ascii="方正仿宋_GB2312" w:hAnsi="方正仿宋_GB2312" w:eastAsia="方正仿宋_GB2312" w:cs="方正仿宋_GB2312"/>
                <w:color w:val="000000"/>
                <w:sz w:val="21"/>
                <w:szCs w:val="21"/>
                <w:lang w:val="en-US" w:eastAsia="zh-CN"/>
              </w:rPr>
              <w:t>-</w:t>
            </w:r>
            <w:r>
              <w:rPr>
                <w:rFonts w:hint="default" w:ascii="Times New Roman" w:hAnsi="Times New Roman" w:eastAsia="方正仿宋_GB2312" w:cs="Times New Roman"/>
                <w:color w:val="000000"/>
                <w:sz w:val="21"/>
                <w:szCs w:val="21"/>
                <w:lang w:val="en-US" w:eastAsia="zh-CN"/>
              </w:rPr>
              <w:t>60</w:t>
            </w:r>
            <w:r>
              <w:rPr>
                <w:rFonts w:hint="eastAsia" w:ascii="方正仿宋_GB2312" w:hAnsi="方正仿宋_GB2312" w:eastAsia="方正仿宋_GB2312" w:cs="方正仿宋_GB2312"/>
                <w:color w:val="000000"/>
                <w:sz w:val="21"/>
                <w:szCs w:val="21"/>
                <w:lang w:val="en-US" w:eastAsia="zh-CN"/>
              </w:rPr>
              <w:t>%</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lang w:val="en-US" w:eastAsia="zh-CN"/>
              </w:rPr>
              <w:t>2</w:t>
            </w:r>
            <w:r>
              <w:rPr>
                <w:rFonts w:hint="eastAsia" w:ascii="方正仿宋_GB2312" w:hAnsi="方正仿宋_GB2312" w:eastAsia="方正仿宋_GB2312" w:cs="方正仿宋_GB2312"/>
                <w:color w:val="000000"/>
                <w:sz w:val="21"/>
                <w:szCs w:val="21"/>
              </w:rPr>
              <w:t>分，</w:t>
            </w:r>
            <w:r>
              <w:rPr>
                <w:rFonts w:hint="default" w:ascii="Times New Roman" w:hAnsi="Times New Roman" w:eastAsia="方正仿宋_GB2312" w:cs="Times New Roman"/>
                <w:color w:val="000000"/>
                <w:sz w:val="21"/>
                <w:szCs w:val="21"/>
                <w:lang w:val="en-US" w:eastAsia="zh-CN"/>
              </w:rPr>
              <w:t>6</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%以下得</w:t>
            </w:r>
            <w:r>
              <w:rPr>
                <w:rFonts w:hint="default" w:ascii="Times New Roman" w:hAnsi="Times New Roman" w:eastAsia="方正仿宋_GB2312" w:cs="Times New Roman"/>
                <w:color w:val="000000"/>
                <w:sz w:val="21"/>
                <w:szCs w:val="21"/>
              </w:rPr>
              <w:t>0</w:t>
            </w:r>
            <w:r>
              <w:rPr>
                <w:rFonts w:hint="eastAsia" w:ascii="方正仿宋_GB2312" w:hAnsi="方正仿宋_GB2312" w:eastAsia="方正仿宋_GB2312" w:cs="方正仿宋_GB2312"/>
                <w:color w:val="000000"/>
                <w:sz w:val="21"/>
                <w:szCs w:val="21"/>
              </w:rPr>
              <w:t>分</w:t>
            </w: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B71157D">
            <w:pPr>
              <w:widowControl w:val="0"/>
              <w:numPr>
                <w:ilvl w:val="0"/>
                <w:numId w:val="0"/>
              </w:numPr>
              <w:shd w:val="clear"/>
              <w:ind w:left="0" w:leftChars="0" w:right="0" w:rightChars="0" w:firstLine="0" w:firstLineChars="0"/>
              <w:jc w:val="left"/>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因为疫情期间管控严，通过电话回访方式，社会公众或服务对象比较满意，酌情扣</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t>分。</w:t>
            </w: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1A9AB38A">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color w:val="000000" w:themeColor="text1"/>
                <w:kern w:val="2"/>
                <w:sz w:val="21"/>
                <w:szCs w:val="21"/>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4</w:t>
            </w:r>
          </w:p>
        </w:tc>
      </w:tr>
      <w:tr w14:paraId="6593D5BA">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16" w:hRule="atLeast"/>
        </w:trPr>
        <w:tc>
          <w:tcPr>
            <w:tcW w:w="708"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14:paraId="1E1CB860">
            <w:pPr>
              <w:widowControl w:val="0"/>
              <w:numPr>
                <w:ilvl w:val="0"/>
                <w:numId w:val="0"/>
              </w:numPr>
              <w:shd w:val="clear"/>
              <w:jc w:val="center"/>
              <w:rPr>
                <w:rFonts w:hint="eastAsia"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合  计</w:t>
            </w:r>
          </w:p>
        </w:tc>
        <w:tc>
          <w:tcPr>
            <w:tcW w:w="432" w:type="pct"/>
            <w:tcBorders>
              <w:top w:val="outset" w:color="000000" w:sz="6" w:space="0"/>
              <w:left w:val="outset" w:color="000000" w:sz="6" w:space="0"/>
              <w:bottom w:val="outset" w:color="000000" w:sz="6" w:space="0"/>
              <w:right w:val="outset" w:color="000000" w:sz="6" w:space="0"/>
            </w:tcBorders>
            <w:shd w:val="clear" w:color="auto" w:fill="auto"/>
            <w:noWrap/>
            <w:vAlign w:val="center"/>
          </w:tcPr>
          <w:p w14:paraId="63EF54AB">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100</w:t>
            </w:r>
          </w:p>
        </w:tc>
        <w:tc>
          <w:tcPr>
            <w:tcW w:w="1262" w:type="pct"/>
            <w:tcBorders>
              <w:top w:val="outset" w:color="000000" w:sz="6" w:space="0"/>
              <w:left w:val="outset" w:color="000000" w:sz="6" w:space="0"/>
              <w:bottom w:val="outset" w:color="000000" w:sz="6" w:space="0"/>
              <w:right w:val="outset" w:color="000000" w:sz="6" w:space="0"/>
            </w:tcBorders>
            <w:shd w:val="clear" w:color="auto" w:fill="auto"/>
            <w:noWrap/>
            <w:vAlign w:val="center"/>
          </w:tcPr>
          <w:p w14:paraId="640D76F0">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1413" w:type="pct"/>
            <w:tcBorders>
              <w:top w:val="outset" w:color="000000" w:sz="6" w:space="0"/>
              <w:left w:val="outset" w:color="000000" w:sz="6" w:space="0"/>
              <w:bottom w:val="outset" w:color="000000" w:sz="6" w:space="0"/>
              <w:right w:val="outset" w:color="000000" w:sz="6" w:space="0"/>
            </w:tcBorders>
            <w:shd w:val="clear" w:color="auto" w:fill="auto"/>
            <w:noWrap/>
            <w:vAlign w:val="center"/>
          </w:tcPr>
          <w:p w14:paraId="68B33B1D">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968" w:type="pct"/>
            <w:tcBorders>
              <w:top w:val="outset" w:color="000000" w:sz="6" w:space="0"/>
              <w:left w:val="outset" w:color="000000" w:sz="6" w:space="0"/>
              <w:bottom w:val="outset" w:color="000000" w:sz="6" w:space="0"/>
              <w:right w:val="outset" w:color="000000" w:sz="6" w:space="0"/>
            </w:tcBorders>
            <w:shd w:val="clear" w:color="auto" w:fill="auto"/>
            <w:vAlign w:val="center"/>
          </w:tcPr>
          <w:p w14:paraId="3C8D9CBD">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c>
          <w:tcPr>
            <w:tcW w:w="216" w:type="pct"/>
            <w:tcBorders>
              <w:top w:val="outset" w:color="000000" w:sz="6" w:space="0"/>
              <w:left w:val="outset" w:color="000000" w:sz="6" w:space="0"/>
              <w:bottom w:val="outset" w:color="000000" w:sz="6" w:space="0"/>
              <w:right w:val="outset" w:color="000000" w:sz="6" w:space="0"/>
            </w:tcBorders>
            <w:shd w:val="clear" w:color="auto" w:fill="auto"/>
            <w:vAlign w:val="center"/>
          </w:tcPr>
          <w:p w14:paraId="6B333E79">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94</w:t>
            </w:r>
          </w:p>
        </w:tc>
      </w:tr>
      <w:tr w14:paraId="2183A09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rHeight w:val="916" w:hRule="atLeast"/>
        </w:trPr>
        <w:tc>
          <w:tcPr>
            <w:tcW w:w="708"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14:paraId="5F9899BA">
            <w:pPr>
              <w:widowControl w:val="0"/>
              <w:numPr>
                <w:ilvl w:val="0"/>
                <w:numId w:val="0"/>
              </w:numPr>
              <w:shd w:val="clear"/>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评分等级</w:t>
            </w:r>
          </w:p>
        </w:tc>
        <w:tc>
          <w:tcPr>
            <w:tcW w:w="4075" w:type="pct"/>
            <w:gridSpan w:val="4"/>
            <w:tcBorders>
              <w:top w:val="outset" w:color="000000" w:sz="6" w:space="0"/>
              <w:left w:val="outset" w:color="000000" w:sz="6" w:space="0"/>
              <w:bottom w:val="outset" w:color="000000" w:sz="6" w:space="0"/>
              <w:right w:val="outset" w:color="000000" w:sz="6" w:space="0"/>
            </w:tcBorders>
            <w:shd w:val="clear" w:color="auto" w:fill="auto"/>
            <w:noWrap/>
            <w:vAlign w:val="center"/>
          </w:tcPr>
          <w:p w14:paraId="2D4336E1">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sym w:font="Wingdings 2" w:char="0052"/>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优（</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90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分及以上）  良（</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80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89</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  □较差（</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60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79</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  □差（</w:t>
            </w:r>
            <w:r>
              <w:rPr>
                <w:rFonts w:hint="default" w:ascii="Times New Roman" w:hAnsi="Times New Roman" w:eastAsia="方正仿宋_GB2312" w:cs="Times New Roman"/>
                <w:b/>
                <w:bCs/>
                <w:color w:val="000000" w:themeColor="text1"/>
                <w:sz w:val="21"/>
                <w:szCs w:val="21"/>
                <w:lang w:val="en-US" w:eastAsia="zh-CN"/>
                <w14:textFill>
                  <w14:solidFill>
                    <w14:schemeClr w14:val="tx1"/>
                  </w14:solidFill>
                </w14:textFill>
              </w:rPr>
              <w:t>60</w:t>
            </w:r>
            <w: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t>分以下）</w:t>
            </w:r>
          </w:p>
        </w:tc>
        <w:tc>
          <w:tcPr>
            <w:tcW w:w="216" w:type="pct"/>
            <w:tcBorders>
              <w:top w:val="outset" w:color="000000" w:sz="6" w:space="0"/>
              <w:left w:val="outset" w:color="000000" w:sz="6" w:space="0"/>
              <w:bottom w:val="outset" w:color="000000" w:sz="6" w:space="0"/>
              <w:right w:val="outset" w:color="000000" w:sz="6" w:space="0"/>
            </w:tcBorders>
            <w:shd w:val="clear" w:color="auto" w:fill="auto"/>
            <w:noWrap/>
            <w:vAlign w:val="center"/>
          </w:tcPr>
          <w:p w14:paraId="57858AD6">
            <w:pPr>
              <w:widowControl w:val="0"/>
              <w:numPr>
                <w:ilvl w:val="0"/>
                <w:numId w:val="0"/>
              </w:numPr>
              <w:shd w:val="clear"/>
              <w:ind w:left="0" w:leftChars="0" w:right="0" w:rightChars="0" w:firstLine="0" w:firstLineChars="0"/>
              <w:jc w:val="center"/>
              <w:rPr>
                <w:rFonts w:hint="eastAsia" w:ascii="方正仿宋_GB2312" w:hAnsi="方正仿宋_GB2312" w:eastAsia="方正仿宋_GB2312" w:cs="方正仿宋_GB2312"/>
                <w:b/>
                <w:bCs/>
                <w:color w:val="000000" w:themeColor="text1"/>
                <w:sz w:val="21"/>
                <w:szCs w:val="21"/>
                <w:lang w:val="en-US" w:eastAsia="zh-CN"/>
                <w14:textFill>
                  <w14:solidFill>
                    <w14:schemeClr w14:val="tx1"/>
                  </w14:solidFill>
                </w14:textFill>
              </w:rPr>
            </w:pPr>
          </w:p>
        </w:tc>
      </w:tr>
    </w:tbl>
    <w:p w14:paraId="31E6A8FD">
      <w:pPr>
        <w:shd w:val="clear"/>
        <w:rPr>
          <w:rFonts w:hint="default"/>
          <w:color w:val="000000" w:themeColor="text1"/>
          <w:lang w:val="en-US" w:eastAsia="zh-CN"/>
          <w14:textFill>
            <w14:solidFill>
              <w14:schemeClr w14:val="tx1"/>
            </w14:solidFill>
          </w14:textFill>
        </w:rPr>
      </w:pP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41869D-1B4A-4FCF-9FF2-8566A69DF6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1CE73A67-2136-4448-8822-87C93B6092EB}"/>
  </w:font>
  <w:font w:name="方正仿宋_GB2312">
    <w:panose1 w:val="02000000000000000000"/>
    <w:charset w:val="86"/>
    <w:family w:val="auto"/>
    <w:pitch w:val="default"/>
    <w:sig w:usb0="A00002BF" w:usb1="184F6CFA" w:usb2="00000012" w:usb3="00000000" w:csb0="00040001" w:csb1="00000000"/>
    <w:embedRegular r:id="rId3" w:fontKey="{B11F49A9-223C-4776-ADDF-3D65E3C44256}"/>
  </w:font>
  <w:font w:name="仿宋_GB2312">
    <w:panose1 w:val="02010609030101010101"/>
    <w:charset w:val="86"/>
    <w:family w:val="auto"/>
    <w:pitch w:val="default"/>
    <w:sig w:usb0="00000001" w:usb1="080E0000" w:usb2="00000000" w:usb3="00000000" w:csb0="00040000" w:csb1="00000000"/>
    <w:embedRegular r:id="rId4" w:fontKey="{0C4B2A8A-90BD-4719-9A0C-32743DB98C38}"/>
  </w:font>
  <w:font w:name="楷体_GB2312">
    <w:panose1 w:val="02010609030101010101"/>
    <w:charset w:val="86"/>
    <w:family w:val="auto"/>
    <w:pitch w:val="default"/>
    <w:sig w:usb0="00000001" w:usb1="080E0000" w:usb2="00000000" w:usb3="00000000" w:csb0="00040000" w:csb1="00000000"/>
    <w:embedRegular r:id="rId5" w:fontKey="{6C64FC08-4B2F-422C-96C0-297BD48F3FDF}"/>
  </w:font>
  <w:font w:name="方正楷体_GB2312">
    <w:panose1 w:val="02000000000000000000"/>
    <w:charset w:val="86"/>
    <w:family w:val="auto"/>
    <w:pitch w:val="default"/>
    <w:sig w:usb0="A00002BF" w:usb1="184F6CFA" w:usb2="00000012" w:usb3="00000000" w:csb0="00040001" w:csb1="00000000"/>
    <w:embedRegular r:id="rId6" w:fontKey="{5A4C85E7-A035-455F-B038-A894D2497BC2}"/>
  </w:font>
  <w:font w:name="仿宋">
    <w:panose1 w:val="02010609060101010101"/>
    <w:charset w:val="86"/>
    <w:family w:val="auto"/>
    <w:pitch w:val="default"/>
    <w:sig w:usb0="800002BF" w:usb1="38CF7CFA" w:usb2="00000016" w:usb3="00000000" w:csb0="00040001" w:csb1="00000000"/>
    <w:embedRegular r:id="rId7" w:fontKey="{6294D2F9-E441-4E85-ACF9-004643CF2251}"/>
  </w:font>
  <w:font w:name="方正小标宋简体">
    <w:panose1 w:val="03000509000000000000"/>
    <w:charset w:val="86"/>
    <w:family w:val="auto"/>
    <w:pitch w:val="default"/>
    <w:sig w:usb0="00000001" w:usb1="080E0000" w:usb2="00000000" w:usb3="00000000" w:csb0="00040000" w:csb1="00000000"/>
    <w:embedRegular r:id="rId8" w:fontKey="{18D886E0-24BB-4CB2-BD3C-49C0A5045944}"/>
  </w:font>
  <w:font w:name="Wingdings 2">
    <w:panose1 w:val="05020102010507070707"/>
    <w:charset w:val="00"/>
    <w:family w:val="auto"/>
    <w:pitch w:val="default"/>
    <w:sig w:usb0="00000000" w:usb1="00000000" w:usb2="00000000" w:usb3="00000000" w:csb0="80000000" w:csb1="00000000"/>
    <w:embedRegular r:id="rId9" w:fontKey="{CA031228-5C64-4EEF-A981-3CC542A2A2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47525">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64E2">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4B64E2">
                    <w:pPr>
                      <w:pStyle w:val="3"/>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D69C2">
                          <w:pPr>
                            <w:pStyle w:val="3"/>
                          </w:pPr>
                          <w:r>
                            <w:t xml:space="preserve">第 </w:t>
                          </w:r>
                          <w:r>
                            <w:rPr>
                              <w:rFonts w:hint="eastAsia"/>
                              <w:lang w:val="en-US" w:eastAsia="zh-CN"/>
                            </w:rPr>
                            <w:t>1</w:t>
                          </w:r>
                          <w:r>
                            <w:t xml:space="preserve"> 页 共 </w:t>
                          </w:r>
                          <w:r>
                            <w:rPr>
                              <w:rFonts w:hint="eastAsia"/>
                              <w:lang w:val="en-US" w:eastAsia="zh-CN"/>
                            </w:rPr>
                            <w:t>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9FD69C2">
                    <w:pPr>
                      <w:pStyle w:val="3"/>
                    </w:pPr>
                    <w:r>
                      <w:t xml:space="preserve">第 </w:t>
                    </w:r>
                    <w:r>
                      <w:rPr>
                        <w:rFonts w:hint="eastAsia"/>
                        <w:lang w:val="en-US" w:eastAsia="zh-CN"/>
                      </w:rPr>
                      <w:t>1</w:t>
                    </w:r>
                    <w:r>
                      <w:t xml:space="preserve"> 页 共 </w:t>
                    </w:r>
                    <w:r>
                      <w:rPr>
                        <w:rFonts w:hint="eastAsia"/>
                        <w:lang w:val="en-US" w:eastAsia="zh-CN"/>
                      </w:rPr>
                      <w:t>8</w:t>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CCD22">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1CCD22">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0564">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6A9A8">
                          <w:pPr>
                            <w:pStyle w:val="3"/>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5</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86A9A8">
                    <w:pPr>
                      <w:pStyle w:val="3"/>
                    </w:pPr>
                    <w:r>
                      <w:t xml:space="preserve">第 </w:t>
                    </w:r>
                    <w:r>
                      <w:fldChar w:fldCharType="begin"/>
                    </w:r>
                    <w:r>
                      <w:instrText xml:space="preserve"> PAGE  \* MERGEFORMAT </w:instrText>
                    </w:r>
                    <w:r>
                      <w:fldChar w:fldCharType="separate"/>
                    </w:r>
                    <w:r>
                      <w:t>9</w:t>
                    </w:r>
                    <w:r>
                      <w:fldChar w:fldCharType="end"/>
                    </w:r>
                    <w:r>
                      <w:t xml:space="preserve"> 页 共 </w:t>
                    </w:r>
                    <w:r>
                      <w:rPr>
                        <w:rFonts w:hint="eastAsia"/>
                        <w:lang w:val="en-US" w:eastAsia="zh-CN"/>
                      </w:rPr>
                      <w:t>5</w:t>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MTQ0MWM2ZTBjN2NkNGMwNTgzMmJjZDY0ZmZiOGIifQ=="/>
  </w:docVars>
  <w:rsids>
    <w:rsidRoot w:val="00DB6528"/>
    <w:rsid w:val="000A2FA0"/>
    <w:rsid w:val="000A6510"/>
    <w:rsid w:val="000D5083"/>
    <w:rsid w:val="00112112"/>
    <w:rsid w:val="0011517C"/>
    <w:rsid w:val="0012463A"/>
    <w:rsid w:val="001350AC"/>
    <w:rsid w:val="001570F3"/>
    <w:rsid w:val="001D456A"/>
    <w:rsid w:val="00292202"/>
    <w:rsid w:val="0046360F"/>
    <w:rsid w:val="00494E0C"/>
    <w:rsid w:val="005842DC"/>
    <w:rsid w:val="005E2455"/>
    <w:rsid w:val="00616CAB"/>
    <w:rsid w:val="00632547"/>
    <w:rsid w:val="00730157"/>
    <w:rsid w:val="007E6347"/>
    <w:rsid w:val="0087789D"/>
    <w:rsid w:val="00880AF8"/>
    <w:rsid w:val="008B0E06"/>
    <w:rsid w:val="00913581"/>
    <w:rsid w:val="0091661D"/>
    <w:rsid w:val="0098718D"/>
    <w:rsid w:val="00AA61B0"/>
    <w:rsid w:val="00B05AFB"/>
    <w:rsid w:val="00BD3ECF"/>
    <w:rsid w:val="00C011A1"/>
    <w:rsid w:val="00C27759"/>
    <w:rsid w:val="00DB6528"/>
    <w:rsid w:val="00DF588B"/>
    <w:rsid w:val="00E9631D"/>
    <w:rsid w:val="00FF07C3"/>
    <w:rsid w:val="031A4E36"/>
    <w:rsid w:val="03456FA9"/>
    <w:rsid w:val="06672F9A"/>
    <w:rsid w:val="067F630F"/>
    <w:rsid w:val="08257CF3"/>
    <w:rsid w:val="09E0703B"/>
    <w:rsid w:val="09FC6C3A"/>
    <w:rsid w:val="0A884C6E"/>
    <w:rsid w:val="0C7712F5"/>
    <w:rsid w:val="0CBC5AE9"/>
    <w:rsid w:val="104C3750"/>
    <w:rsid w:val="12F43EE5"/>
    <w:rsid w:val="145B3236"/>
    <w:rsid w:val="14AE2925"/>
    <w:rsid w:val="15B91DB9"/>
    <w:rsid w:val="16D10701"/>
    <w:rsid w:val="173E34D5"/>
    <w:rsid w:val="1B886482"/>
    <w:rsid w:val="1C09374B"/>
    <w:rsid w:val="1D751229"/>
    <w:rsid w:val="1E3A7D64"/>
    <w:rsid w:val="2081027C"/>
    <w:rsid w:val="222B465F"/>
    <w:rsid w:val="25B151D3"/>
    <w:rsid w:val="2677005C"/>
    <w:rsid w:val="26F025A1"/>
    <w:rsid w:val="2A383867"/>
    <w:rsid w:val="2E2C366A"/>
    <w:rsid w:val="3333645C"/>
    <w:rsid w:val="35485BEA"/>
    <w:rsid w:val="3A94516D"/>
    <w:rsid w:val="3B535276"/>
    <w:rsid w:val="3DDE68CB"/>
    <w:rsid w:val="3F2F1C77"/>
    <w:rsid w:val="42B715AD"/>
    <w:rsid w:val="44AD1B20"/>
    <w:rsid w:val="451C0A58"/>
    <w:rsid w:val="45F4256C"/>
    <w:rsid w:val="45FC3EB0"/>
    <w:rsid w:val="49430961"/>
    <w:rsid w:val="4A2F1092"/>
    <w:rsid w:val="4D1B0091"/>
    <w:rsid w:val="4DCD6AB9"/>
    <w:rsid w:val="4E01203E"/>
    <w:rsid w:val="4EA2094A"/>
    <w:rsid w:val="520671D1"/>
    <w:rsid w:val="53037C7E"/>
    <w:rsid w:val="583B4B41"/>
    <w:rsid w:val="58E14BEF"/>
    <w:rsid w:val="5B2B0A3B"/>
    <w:rsid w:val="5D673729"/>
    <w:rsid w:val="5EF325CC"/>
    <w:rsid w:val="608D1167"/>
    <w:rsid w:val="611539DF"/>
    <w:rsid w:val="64687F80"/>
    <w:rsid w:val="64C04489"/>
    <w:rsid w:val="65246B69"/>
    <w:rsid w:val="66B97835"/>
    <w:rsid w:val="67A222EB"/>
    <w:rsid w:val="69484A06"/>
    <w:rsid w:val="6A116D0D"/>
    <w:rsid w:val="6B222C79"/>
    <w:rsid w:val="6B50502E"/>
    <w:rsid w:val="6D445C86"/>
    <w:rsid w:val="6F91769F"/>
    <w:rsid w:val="709F1B1A"/>
    <w:rsid w:val="70CF6FDB"/>
    <w:rsid w:val="71C137C8"/>
    <w:rsid w:val="728B5312"/>
    <w:rsid w:val="738173E6"/>
    <w:rsid w:val="76A82607"/>
    <w:rsid w:val="77871C8B"/>
    <w:rsid w:val="78865313"/>
    <w:rsid w:val="7D011E4D"/>
    <w:rsid w:val="7D8D299F"/>
    <w:rsid w:val="7DFF1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9">
    <w:name w:val="正文文本 字符"/>
    <w:basedOn w:val="7"/>
    <w:link w:val="2"/>
    <w:qFormat/>
    <w:uiPriority w:val="99"/>
    <w:rPr>
      <w:rFonts w:ascii="Times New Roman" w:hAnsi="Times New Roman" w:eastAsia="宋体" w:cs="Times New Roman"/>
      <w:szCs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76EE2-6F21-4DD6-B2C3-55B2D010A99C}">
  <ds:schemaRefs/>
</ds:datastoreItem>
</file>

<file path=docProps/app.xml><?xml version="1.0" encoding="utf-8"?>
<Properties xmlns="http://schemas.openxmlformats.org/officeDocument/2006/extended-properties" xmlns:vt="http://schemas.openxmlformats.org/officeDocument/2006/docPropsVTypes">
  <Template>Normal</Template>
  <Pages>14</Pages>
  <Words>4737</Words>
  <Characters>4967</Characters>
  <Lines>22</Lines>
  <Paragraphs>6</Paragraphs>
  <TotalTime>48</TotalTime>
  <ScaleCrop>false</ScaleCrop>
  <LinksUpToDate>false</LinksUpToDate>
  <CharactersWithSpaces>5008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2022-11-04T03:05:00Z</dcterms:created>
  <dc:creator>JD</dc:creator>
  <cp:lastModifiedBy>邓婷</cp:lastModifiedBy>
  <cp:lastPrinted>2022-12-01T08:53:00Z</cp:lastPrinted>
  <dcterms:modified xsi:type="dcterms:W3CDTF">2025-01-15T07:39:53Z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58FC3C11C9FD4B30836520FEB21615E2_13</vt:lpwstr>
  </property>
  <property fmtid="{D5CDD505-2E9C-101B-9397-08002B2CF9AE}" pid="4" name="KSOTemplateDocerSaveRecord">
    <vt:lpwstr>eyJoZGlkIjoiYjNiOTFlZDdlOTM1MDZmNzNmODgxNDg5MGY1ZTM1MzQiLCJ1c2VySWQiOiIxMDY5MjgzMDcxIn0=</vt:lpwstr>
  </property>
</Properties>
</file>