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  <w:lang w:eastAsia="zh-CN"/>
        </w:rPr>
        <w:t>202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1</w:t>
      </w:r>
      <w:r>
        <w:rPr>
          <w:rFonts w:hint="eastAsia" w:eastAsia="方正小标宋_GBK"/>
          <w:b/>
          <w:bCs/>
          <w:sz w:val="44"/>
          <w:szCs w:val="44"/>
          <w:lang w:eastAsia="zh-CN"/>
        </w:rPr>
        <w:t>年</w:t>
      </w:r>
      <w:r>
        <w:rPr>
          <w:rFonts w:eastAsia="方正小标宋_GBK"/>
          <w:b/>
          <w:bCs/>
          <w:sz w:val="44"/>
          <w:szCs w:val="44"/>
        </w:rPr>
        <w:t>预算重要事项说明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收入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一般公共预算收入预期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128536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32143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6.51%，其中：税收收入预期24040万元，增长6.51%；非税收入预期8103万元，增长6.49%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二、202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一般公共预算支出预算说明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全区一般公共预算支出安排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126615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47467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3.87%；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79148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增加5672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，主要是老旧小区改造、隐性债务还本付息、城市低保、农村低保、社区运转等专项经费。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三、202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年税收返还和转移支付预算说明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返还性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4397万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年执行数持平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60321万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其中，均衡性转移支付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15130万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元，县级基本财力保障机制奖补资金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4617万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农村税费改革转移支付收入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684万元，调整工资转移支付收入2133万元，城区财政体制调整区对市递增上划收入-4082万元，资源枯竭型城市转移支付573万元，企业事业单位划转补助收入3108万元、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固定数额补助收入49万元、一般公共服务共同财政事权转移支付收入2001万元、文化旅游体育与传媒共同财政事权转移支付收入186万元、教育共同财政事权转移支付收入4966万元、社会保障和就业共同财政事权转移支付收入8661万元、卫生健康共同财政事权转移支付收入14395万元、农林水共同财政事权转移支付收入1020万元、住房保障共同财政事权转移支付收入2485万元、其他一般性转移支付收入4395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专项转移支付收入17843万元，主要为社区运转资金900万元、环卫、园林、广场等专项经费1719万元、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农田水利建设支出1392万元、廉租房、公共租赁住房和棚户区改造2914万元等。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四、2021年“三公”经费预算说明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2021年“三公”经费预算为484万元，其中：公务接待费78.1万元、因公出国（境）费0万元、公务用车购置费0万元、公务用车运行维护费405.9万元，比上年减少2万元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五、2021年财政重要事项说明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2021年乡村振兴专项资金1660万元，其中衔接乡村振兴资金660万元，农业生产发展和改善农村环境700万元，农村改厕300万元。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六、珠晖区举借债务及偿还债务情况说明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020年底，全区全口径债务余额19.09亿元，其中：政府债务6.37亿元，隐性债务12.60亿元，其他需要关注类债务0.12亿元。2021年，珠晖区将严格落实防范和化解政府性债务风险系列文件要求，完成2021年化债目标任务，做到总量不增加、存量逐年减、底线不突破，确保不发生政府性债务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2、举借债务方面：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年新增政府债务17900万元。其中：新增一般政府债券3000万元，主要安排用于雪亮工程347万元、扶贫基础设施建设1208万元、创卫工程168万元、茶山坳镇污水管网处理400万元、教育校舍维修改造146万元、湘江茶山防洪堤水毁修复200万元、民生工程210万元、区人民医院疫情防控体系建设100万元、苏州湾护坡加固项目35万元、一门式服务186万元；新增专项政府债券14900万元，安排用于酃湖片棚改三期（城中村）酃湖乡东湖村安置点8900万，和平片棚改一期（城中村）和平乡大湾安置点6000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按照预算法规定，市县确需举借政府债务的，由省级政府发行地方政府债券代为举借。2021年我区将在政府债务限额内，积极争取政府债券资金。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7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3、偿还债务情况方面：统筹安排偿债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资金0.17亿元，用于地方政府一般债券付息。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七、预算绩效管理工作开展情况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一是对编制2020年部门预算的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73个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预算单位资金实行了整体绩效目标申报和项目资金申报，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-SA"/>
        </w:rPr>
        <w:t>对于未按要求报送绩效目标及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审核未通过的，不得申请预算。二是强化预算绩效管理。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实施部门和单位预算绩效管理，完善预算绩效制度体系，开展专项扶贫、乡村振兴、河道整治、代课老师经费、自然村通公路等项目的重点绩效评价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强化绩效评价结果应用，根据绩效评价结果，对2021年部门预算中部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分项目进行调减，共压减部门预算项目经费30万元。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ZWMyODk5MDQ4YTZiYmE5NTY4MWE4M2Y0NjZmNjUifQ=="/>
  </w:docVars>
  <w:rsids>
    <w:rsidRoot w:val="003D7D0B"/>
    <w:rsid w:val="003D7D0B"/>
    <w:rsid w:val="0381097F"/>
    <w:rsid w:val="08511430"/>
    <w:rsid w:val="18D35D30"/>
    <w:rsid w:val="1E901658"/>
    <w:rsid w:val="1FDF5519"/>
    <w:rsid w:val="20E555DB"/>
    <w:rsid w:val="224113B1"/>
    <w:rsid w:val="26CB1012"/>
    <w:rsid w:val="2DAD00C8"/>
    <w:rsid w:val="2F6824F8"/>
    <w:rsid w:val="310F5381"/>
    <w:rsid w:val="320F6367"/>
    <w:rsid w:val="341974D1"/>
    <w:rsid w:val="45351D88"/>
    <w:rsid w:val="48315AA6"/>
    <w:rsid w:val="4838739C"/>
    <w:rsid w:val="4D68579D"/>
    <w:rsid w:val="58727DC0"/>
    <w:rsid w:val="59F40646"/>
    <w:rsid w:val="62644497"/>
    <w:rsid w:val="68F3756D"/>
    <w:rsid w:val="69431F17"/>
    <w:rsid w:val="6D061A77"/>
    <w:rsid w:val="739B629E"/>
    <w:rsid w:val="7A9E45ED"/>
    <w:rsid w:val="7B3B7D0B"/>
    <w:rsid w:val="7E6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1785</Characters>
  <Lines>0</Lines>
  <Paragraphs>0</Paragraphs>
  <TotalTime>162</TotalTime>
  <ScaleCrop>false</ScaleCrop>
  <LinksUpToDate>false</LinksUpToDate>
  <CharactersWithSpaces>1786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2021-10-11T07:04:00Z</dcterms:created>
  <dc:creator>Administrator</dc:creator>
  <cp:lastModifiedBy></cp:lastModifiedBy>
  <dcterms:modified xsi:type="dcterms:W3CDTF">2022-05-30T07:08:08Z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44FF970543B541CC986DD48D0FA1034D</vt:lpwstr>
  </property>
</Properties>
</file>