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2020年度部门整体支出绩效自评报告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60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珠晖区广东路街道办事处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44"/>
          <w:szCs w:val="44"/>
          <w:lang w:val="en-US" w:eastAsia="zh-CN"/>
        </w:rPr>
        <w:t>目     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黑体" w:hAnsi="黑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黑体" w:hAnsi="黑体" w:eastAsia="宋体"/>
          <w:b/>
          <w:bCs/>
          <w:sz w:val="32"/>
          <w:szCs w:val="32"/>
          <w:lang w:eastAsia="zh-CN"/>
        </w:rPr>
      </w:pPr>
      <w:r>
        <w:rPr>
          <w:rFonts w:hint="eastAsia" w:ascii="黑体" w:hAnsi="黑体"/>
          <w:b/>
          <w:bCs/>
          <w:sz w:val="32"/>
          <w:szCs w:val="32"/>
        </w:rPr>
        <w:t>一、</w:t>
      </w:r>
      <w:r>
        <w:rPr>
          <w:rFonts w:ascii="黑体" w:hAnsi="黑体"/>
          <w:b/>
          <w:bCs/>
          <w:sz w:val="32"/>
          <w:szCs w:val="32"/>
        </w:rPr>
        <w:t>部门基本情况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黑体" w:hAnsi="黑体" w:eastAsia="宋体"/>
          <w:b/>
          <w:bCs/>
          <w:sz w:val="32"/>
          <w:szCs w:val="32"/>
          <w:lang w:eastAsia="zh-CN"/>
        </w:rPr>
      </w:pPr>
      <w:r>
        <w:rPr>
          <w:rFonts w:ascii="黑体" w:hAnsi="黑体"/>
          <w:b/>
          <w:bCs/>
          <w:sz w:val="32"/>
          <w:szCs w:val="32"/>
        </w:rPr>
        <w:t>二、</w:t>
      </w:r>
      <w:r>
        <w:rPr>
          <w:rFonts w:hint="eastAsia" w:ascii="黑体" w:hAnsi="黑体"/>
          <w:b/>
          <w:bCs/>
          <w:sz w:val="32"/>
          <w:szCs w:val="32"/>
          <w:lang w:eastAsia="zh-CN"/>
        </w:rPr>
        <w:t>部门整体</w:t>
      </w:r>
      <w:r>
        <w:rPr>
          <w:rFonts w:ascii="黑体" w:hAnsi="黑体"/>
          <w:b/>
          <w:bCs/>
          <w:sz w:val="32"/>
          <w:szCs w:val="32"/>
        </w:rPr>
        <w:t>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三、</w:t>
      </w:r>
      <w:r>
        <w:rPr>
          <w:rFonts w:hint="eastAsia" w:ascii="黑体" w:hAnsi="黑体"/>
          <w:b/>
          <w:bCs/>
          <w:sz w:val="32"/>
          <w:szCs w:val="32"/>
          <w:lang w:eastAsia="zh-CN"/>
        </w:rPr>
        <w:t>资产管理情况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hint="eastAsia" w:ascii="黑体" w:hAnsi="黑体" w:eastAsia="宋体"/>
          <w:b/>
          <w:bCs/>
          <w:sz w:val="32"/>
          <w:szCs w:val="32"/>
          <w:lang w:eastAsia="zh-CN"/>
        </w:rPr>
      </w:pPr>
      <w:r>
        <w:rPr>
          <w:rFonts w:ascii="黑体" w:hAnsi="黑体"/>
          <w:b/>
          <w:bCs/>
          <w:sz w:val="32"/>
          <w:szCs w:val="32"/>
        </w:rPr>
        <w:t>四、部门整体支出绩效情况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/>
          <w:b/>
          <w:bCs/>
          <w:sz w:val="32"/>
          <w:szCs w:val="32"/>
        </w:rPr>
        <w:t>五、存在的主要问题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bookmark91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部门基本情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932" w:firstLineChars="29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主要职能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1" w:name="bookmark92"/>
      <w:r>
        <w:rPr>
          <w:rFonts w:hint="eastAsia" w:ascii="仿宋" w:hAnsi="仿宋" w:eastAsia="仿宋"/>
          <w:b/>
          <w:sz w:val="32"/>
          <w:szCs w:val="32"/>
        </w:rPr>
        <w:t>（一）加强党的建设。</w:t>
      </w:r>
      <w:r>
        <w:rPr>
          <w:rFonts w:hint="eastAsia" w:ascii="仿宋" w:hAnsi="仿宋" w:eastAsia="仿宋"/>
          <w:sz w:val="32"/>
          <w:szCs w:val="32"/>
        </w:rPr>
        <w:t>宣传、贯彻、执行党的路线、方针、政策和上级党委、政府的指示、决议；加强党的自身建设，领导街道的思想政治工作、精神文明建设。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（二）统筹区域发展。</w:t>
      </w:r>
      <w:r>
        <w:rPr>
          <w:rFonts w:hint="eastAsia" w:ascii="仿宋" w:hAnsi="仿宋" w:eastAsia="仿宋"/>
          <w:sz w:val="32"/>
          <w:szCs w:val="32"/>
        </w:rPr>
        <w:t>领导街道的经济、城市管理、服务等工作，对有关的重大问题做出决策；按照党的干部政策和管理权限，决定干部的任务和奖惩；支持办事处行政领导依法行使职权，独立负责地开展工作；领导工会、共青团、妇联等群众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（三）实施公共管理。</w:t>
      </w:r>
      <w:r>
        <w:rPr>
          <w:rFonts w:hint="eastAsia" w:ascii="仿宋" w:hAnsi="仿宋" w:eastAsia="仿宋"/>
          <w:sz w:val="32"/>
          <w:szCs w:val="32"/>
        </w:rPr>
        <w:t>督促、检查和协调本辖区内各单位承担的计划生育服务、社会治安、城管卫生等有关地区性、社会性工作。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（四）维护公共安全。</w:t>
      </w:r>
      <w:r>
        <w:rPr>
          <w:rFonts w:hint="eastAsia" w:ascii="仿宋" w:hAnsi="仿宋" w:eastAsia="仿宋"/>
          <w:sz w:val="32"/>
          <w:szCs w:val="32"/>
        </w:rPr>
        <w:t>搞好精神文明建设，加强城市管理和社区治安综合治理，依法对本行政区域内的其他各项工作实施行政管理，组织好人民生活。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（五）组织公共服务。</w:t>
      </w:r>
      <w:r>
        <w:rPr>
          <w:rFonts w:hint="eastAsia" w:ascii="仿宋" w:hAnsi="仿宋" w:eastAsia="仿宋"/>
          <w:sz w:val="32"/>
          <w:szCs w:val="32"/>
        </w:rPr>
        <w:t>在街道党委的领导下坚持以经济建设为中心，大力发展街道经济；依法开展民政、社会保障、文化旅游、科技、教育、卫生健康、民族宗教、退役军人等公益性事务服务工作。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0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（六）贯彻执行相关法律法规，落实党和国家的方针、政策，承担上级交办的其他任务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1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机构设置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根据区委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区政府对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广东路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街道机构设置的规定，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街道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内设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、事业单位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设置为“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四办二中心一大队”，下设七个社区居委会。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人员情况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本部门在职人员32人，其中行政编制11人，事业编制13人。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0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部门整体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eastAsia="仿宋" w:cs="Times New Roman"/>
          <w:b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基本支出情况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广东路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基本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支出总额为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854.33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其中：人员经费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423.77万元，占基本支出的49.6%，主要用于保障街道、社区两级人员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基本工资、津贴补贴、奖金、伙食补助费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、机关事业单位基本养老保险缴费、行政单位医疗、其他社会保障缴费；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日常公用经费430.56万元，占基本支出的50.4%，主要包括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办公费、印刷费、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水费、电费、维修费、劳务费、委托业务费、税金及附加费用、其他商品和服务支出、对个人和家庭的补助支出等。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00" w:lineRule="exact"/>
        <w:ind w:firstLine="64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项目支出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广东路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未做项目支出。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路街道2020年度财政拨款支出854.33万元，主要用于以下方面：一般公共服务（类）支出347.84万元，占40.72%；文化旅游体育与传媒（类）28万元，占3.28 %;社会保障和就业支出（类）137.64万元，占16.11 %;卫生健康支出（类）36.54万元，占4.27%;城乡社区支出（类）234.2万元，占27.41%;农林水支出40.5万元，占4.71%;，住房保障支出（类）19.62万元，占2.32%；灾害防治及应急管理支出10万元，占1.18%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广东路街道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严格落实中央厉行节约的有关规定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严把“三公”经费使用关。20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年度“三公”经费预算支出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万元。 “三公”经费实际支出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万元，其中：因公出国（境）费无，公务用车运行维护费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万元，公务接待费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万元，均未超预算。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三、资产管理情况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我单位资产按类别分为办公服务用房、办公通用设备、家具用具，截止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2020年12月固定资产账面价值236.08万元。计提累计折旧107.13万元。对资产的配置计入财务固定资产明细账，制定固定资产管理制度，对资产的管理实行按股室站办部门负责制，对资产配置严格按规定标准配备，资产处置实行报批审核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四、部门整体支出绩效情况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</w:t>
      </w:r>
      <w:bookmarkStart w:id="3" w:name="_GoBack"/>
      <w:bookmarkEnd w:id="3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广东路街道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积极履职，强化管理，优质高效的完成了年度工作目标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，确保了街道、社区两级正常运转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充分做好关于辖区内民政社会救助、残疾人帮扶、医疗救助、困难群众帮扶等民政事务工作；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为辖区居民群众提供再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就业帮扶、办理退休认证、就业补贴申报、办理居民医保等就业服务工作；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协助做好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综合治理、矛盾调处、禁毒宣传等工作；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城市规范化管理工作；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积极开展创建文明城市、创建卫生城市创建工作；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卫生健康宣传服务；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大力开展基层党的建设各项活动，充分发挥基层党组织战斗堡垒作用，做好社区党员管理、教育、学习、服务工作；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积极开展社区青少年教育、志愿者服务等形式多样的文化娱乐活动；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做好各部门职能下层至基层的各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方面的政务服务工作；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10、全力做好疫情防控各项工作。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广东路街道和所辖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个社区的各项工作围绕着积极致力于为居民群众排忧解难，努力打造舒适宜居社区美好环境而开展，取得了良好的社会效益，群众满意度高。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五、存在的主要问题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bookmark10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编制不够完善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年初</w:t>
      </w:r>
      <w:r>
        <w:rPr>
          <w:rFonts w:hint="eastAsia" w:eastAsia="仿宋_GB2312"/>
          <w:sz w:val="32"/>
          <w:szCs w:val="32"/>
          <w:lang w:val="en-US" w:eastAsia="zh-CN"/>
        </w:rPr>
        <w:t>开展</w:t>
      </w:r>
      <w:r>
        <w:rPr>
          <w:rFonts w:hint="eastAsia" w:eastAsia="仿宋_GB2312"/>
          <w:sz w:val="32"/>
          <w:szCs w:val="32"/>
        </w:rPr>
        <w:t>预算编制</w:t>
      </w:r>
      <w:r>
        <w:rPr>
          <w:rFonts w:hint="eastAsia" w:eastAsia="仿宋_GB2312"/>
          <w:sz w:val="32"/>
          <w:szCs w:val="32"/>
          <w:lang w:val="en-US" w:eastAsia="zh-CN"/>
        </w:rPr>
        <w:t>工作时，</w:t>
      </w:r>
      <w:r>
        <w:rPr>
          <w:rFonts w:hint="eastAsia" w:eastAsia="仿宋_GB2312"/>
          <w:sz w:val="32"/>
          <w:szCs w:val="32"/>
        </w:rPr>
        <w:t>不够准确完整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300" w:line="5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预算执行未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完全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到位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实际执行</w:t>
      </w:r>
      <w:r>
        <w:rPr>
          <w:rFonts w:hint="eastAsia" w:ascii="仿宋" w:hAnsi="仿宋" w:eastAsia="仿宋" w:cs="仿宋"/>
          <w:sz w:val="32"/>
          <w:szCs w:val="32"/>
          <w:u w:val="none"/>
        </w:rPr>
        <w:t>过程中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，根据上级工作要求增加的专项工作开展</w:t>
      </w:r>
      <w:r>
        <w:rPr>
          <w:rFonts w:hint="eastAsia" w:ascii="仿宋" w:hAnsi="仿宋" w:eastAsia="仿宋" w:cs="仿宋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导致经费</w:t>
      </w:r>
      <w:r>
        <w:rPr>
          <w:rFonts w:hint="eastAsia" w:ascii="仿宋" w:hAnsi="仿宋" w:eastAsia="仿宋" w:cs="仿宋"/>
          <w:sz w:val="32"/>
          <w:szCs w:val="32"/>
          <w:u w:val="none"/>
        </w:rPr>
        <w:t>开支增加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幅度较大。</w:t>
      </w:r>
      <w:bookmarkEnd w:id="2"/>
    </w:p>
    <w:p/>
    <w:sectPr>
      <w:footerReference r:id="rId3" w:type="default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629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629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7AD9DC"/>
    <w:multiLevelType w:val="singleLevel"/>
    <w:tmpl w:val="B57AD9D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D1065E1"/>
    <w:multiLevelType w:val="singleLevel"/>
    <w:tmpl w:val="4D1065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B3ED8"/>
    <w:rsid w:val="37F9284F"/>
    <w:rsid w:val="3D781AC0"/>
    <w:rsid w:val="47BE5B12"/>
    <w:rsid w:val="564A2E32"/>
    <w:rsid w:val="59C610AB"/>
    <w:rsid w:val="666A3D71"/>
    <w:rsid w:val="79C53787"/>
    <w:rsid w:val="7A6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CN" w:eastAsia="zh-CN" w:bidi="zh-CN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2021-11-12T08:34:39Z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